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7B7" w:rsidRDefault="000457B7" w:rsidP="00FC6D57">
      <w:pPr>
        <w:spacing w:after="0" w:line="240" w:lineRule="auto"/>
        <w:jc w:val="center"/>
        <w:rPr>
          <w:rFonts w:ascii="Times New Roman" w:hAnsi="Times New Roman" w:cs="Times New Roman"/>
          <w:b/>
          <w:sz w:val="36"/>
        </w:rPr>
      </w:pPr>
      <w:r w:rsidRPr="009053E4">
        <w:rPr>
          <w:rFonts w:ascii="Times New Roman" w:hAnsi="Times New Roman" w:cs="Times New Roman"/>
          <w:b/>
          <w:sz w:val="36"/>
        </w:rPr>
        <w:t>A C</w:t>
      </w:r>
      <w:r w:rsidR="009053E4" w:rsidRPr="009053E4">
        <w:rPr>
          <w:rFonts w:ascii="Times New Roman" w:hAnsi="Times New Roman" w:cs="Times New Roman"/>
          <w:b/>
          <w:sz w:val="36"/>
        </w:rPr>
        <w:t>ritical</w:t>
      </w:r>
      <w:r w:rsidRPr="009053E4">
        <w:rPr>
          <w:rFonts w:ascii="Times New Roman" w:hAnsi="Times New Roman" w:cs="Times New Roman"/>
          <w:b/>
          <w:sz w:val="36"/>
        </w:rPr>
        <w:t xml:space="preserve"> A</w:t>
      </w:r>
      <w:r w:rsidR="009053E4" w:rsidRPr="009053E4">
        <w:rPr>
          <w:rFonts w:ascii="Times New Roman" w:hAnsi="Times New Roman" w:cs="Times New Roman"/>
          <w:b/>
          <w:sz w:val="36"/>
        </w:rPr>
        <w:t>nalysis</w:t>
      </w:r>
      <w:r w:rsidRPr="009053E4">
        <w:rPr>
          <w:rFonts w:ascii="Times New Roman" w:hAnsi="Times New Roman" w:cs="Times New Roman"/>
          <w:b/>
          <w:sz w:val="36"/>
        </w:rPr>
        <w:t xml:space="preserve"> </w:t>
      </w:r>
      <w:r w:rsidR="009053E4" w:rsidRPr="009053E4">
        <w:rPr>
          <w:rFonts w:ascii="Times New Roman" w:hAnsi="Times New Roman" w:cs="Times New Roman"/>
          <w:b/>
          <w:sz w:val="36"/>
        </w:rPr>
        <w:t>of</w:t>
      </w:r>
      <w:r w:rsidRPr="009053E4">
        <w:rPr>
          <w:rFonts w:ascii="Times New Roman" w:hAnsi="Times New Roman" w:cs="Times New Roman"/>
          <w:b/>
          <w:sz w:val="36"/>
        </w:rPr>
        <w:t xml:space="preserve"> </w:t>
      </w:r>
      <w:r w:rsidR="009053E4" w:rsidRPr="009053E4">
        <w:rPr>
          <w:rFonts w:ascii="Times New Roman" w:hAnsi="Times New Roman" w:cs="Times New Roman"/>
          <w:b/>
          <w:sz w:val="36"/>
        </w:rPr>
        <w:t>the</w:t>
      </w:r>
      <w:r w:rsidRPr="009053E4">
        <w:rPr>
          <w:rFonts w:ascii="Times New Roman" w:hAnsi="Times New Roman" w:cs="Times New Roman"/>
          <w:b/>
          <w:sz w:val="36"/>
        </w:rPr>
        <w:t xml:space="preserve"> E</w:t>
      </w:r>
      <w:r w:rsidR="009053E4" w:rsidRPr="009053E4">
        <w:rPr>
          <w:rFonts w:ascii="Times New Roman" w:hAnsi="Times New Roman" w:cs="Times New Roman"/>
          <w:b/>
          <w:sz w:val="36"/>
        </w:rPr>
        <w:t>xtent</w:t>
      </w:r>
      <w:r w:rsidRPr="009053E4">
        <w:rPr>
          <w:rFonts w:ascii="Times New Roman" w:hAnsi="Times New Roman" w:cs="Times New Roman"/>
          <w:b/>
          <w:sz w:val="36"/>
        </w:rPr>
        <w:t xml:space="preserve"> </w:t>
      </w:r>
      <w:r w:rsidR="009053E4" w:rsidRPr="009053E4">
        <w:rPr>
          <w:rFonts w:ascii="Times New Roman" w:hAnsi="Times New Roman" w:cs="Times New Roman"/>
          <w:b/>
          <w:sz w:val="36"/>
        </w:rPr>
        <w:t>of</w:t>
      </w:r>
      <w:r w:rsidRPr="009053E4">
        <w:rPr>
          <w:rFonts w:ascii="Times New Roman" w:hAnsi="Times New Roman" w:cs="Times New Roman"/>
          <w:b/>
          <w:sz w:val="36"/>
        </w:rPr>
        <w:t xml:space="preserve"> A</w:t>
      </w:r>
      <w:r w:rsidR="009053E4" w:rsidRPr="009053E4">
        <w:rPr>
          <w:rFonts w:ascii="Times New Roman" w:hAnsi="Times New Roman" w:cs="Times New Roman"/>
          <w:b/>
          <w:sz w:val="36"/>
        </w:rPr>
        <w:t>chievement</w:t>
      </w:r>
      <w:r w:rsidRPr="009053E4">
        <w:rPr>
          <w:rFonts w:ascii="Times New Roman" w:hAnsi="Times New Roman" w:cs="Times New Roman"/>
          <w:b/>
          <w:sz w:val="36"/>
        </w:rPr>
        <w:t xml:space="preserve"> </w:t>
      </w:r>
      <w:r w:rsidR="009053E4" w:rsidRPr="009053E4">
        <w:rPr>
          <w:rFonts w:ascii="Times New Roman" w:hAnsi="Times New Roman" w:cs="Times New Roman"/>
          <w:b/>
          <w:sz w:val="36"/>
        </w:rPr>
        <w:t>of</w:t>
      </w:r>
      <w:r w:rsidRPr="009053E4">
        <w:rPr>
          <w:rFonts w:ascii="Times New Roman" w:hAnsi="Times New Roman" w:cs="Times New Roman"/>
          <w:b/>
          <w:sz w:val="36"/>
        </w:rPr>
        <w:t xml:space="preserve"> S</w:t>
      </w:r>
      <w:r w:rsidR="009053E4" w:rsidRPr="009053E4">
        <w:rPr>
          <w:rFonts w:ascii="Times New Roman" w:hAnsi="Times New Roman" w:cs="Times New Roman"/>
          <w:b/>
          <w:sz w:val="36"/>
        </w:rPr>
        <w:t>elected</w:t>
      </w:r>
      <w:r w:rsidRPr="009053E4">
        <w:rPr>
          <w:rFonts w:ascii="Times New Roman" w:hAnsi="Times New Roman" w:cs="Times New Roman"/>
          <w:b/>
          <w:sz w:val="36"/>
        </w:rPr>
        <w:t xml:space="preserve"> HEIs </w:t>
      </w:r>
      <w:r w:rsidR="009053E4" w:rsidRPr="009053E4">
        <w:rPr>
          <w:rFonts w:ascii="Times New Roman" w:hAnsi="Times New Roman" w:cs="Times New Roman"/>
          <w:b/>
          <w:sz w:val="36"/>
        </w:rPr>
        <w:t>in</w:t>
      </w:r>
      <w:r w:rsidRPr="009053E4">
        <w:rPr>
          <w:rFonts w:ascii="Times New Roman" w:hAnsi="Times New Roman" w:cs="Times New Roman"/>
          <w:b/>
          <w:sz w:val="36"/>
        </w:rPr>
        <w:t xml:space="preserve"> CALABARZON </w:t>
      </w:r>
      <w:r w:rsidR="009053E4" w:rsidRPr="009053E4">
        <w:rPr>
          <w:rFonts w:ascii="Times New Roman" w:hAnsi="Times New Roman" w:cs="Times New Roman"/>
          <w:b/>
          <w:sz w:val="36"/>
        </w:rPr>
        <w:t>with</w:t>
      </w:r>
      <w:r w:rsidRPr="009053E4">
        <w:rPr>
          <w:rFonts w:ascii="Times New Roman" w:hAnsi="Times New Roman" w:cs="Times New Roman"/>
          <w:b/>
          <w:sz w:val="36"/>
        </w:rPr>
        <w:t xml:space="preserve"> Q</w:t>
      </w:r>
      <w:r w:rsidR="009053E4" w:rsidRPr="009053E4">
        <w:rPr>
          <w:rFonts w:ascii="Times New Roman" w:hAnsi="Times New Roman" w:cs="Times New Roman"/>
          <w:b/>
          <w:sz w:val="36"/>
        </w:rPr>
        <w:t>uality</w:t>
      </w:r>
      <w:r w:rsidRPr="009053E4">
        <w:rPr>
          <w:rFonts w:ascii="Times New Roman" w:hAnsi="Times New Roman" w:cs="Times New Roman"/>
          <w:b/>
          <w:sz w:val="36"/>
        </w:rPr>
        <w:t xml:space="preserve"> A</w:t>
      </w:r>
      <w:r w:rsidR="009053E4" w:rsidRPr="009053E4">
        <w:rPr>
          <w:rFonts w:ascii="Times New Roman" w:hAnsi="Times New Roman" w:cs="Times New Roman"/>
          <w:b/>
          <w:sz w:val="36"/>
        </w:rPr>
        <w:t>ssurance</w:t>
      </w:r>
      <w:r w:rsidRPr="009053E4">
        <w:rPr>
          <w:rFonts w:ascii="Times New Roman" w:hAnsi="Times New Roman" w:cs="Times New Roman"/>
          <w:b/>
          <w:sz w:val="36"/>
        </w:rPr>
        <w:t xml:space="preserve"> S</w:t>
      </w:r>
      <w:r w:rsidR="009053E4" w:rsidRPr="009053E4">
        <w:rPr>
          <w:rFonts w:ascii="Times New Roman" w:hAnsi="Times New Roman" w:cs="Times New Roman"/>
          <w:b/>
          <w:sz w:val="36"/>
        </w:rPr>
        <w:t>tandards</w:t>
      </w:r>
    </w:p>
    <w:p w:rsidR="000129C7" w:rsidRPr="000129C7" w:rsidRDefault="000129C7" w:rsidP="00FC6D57">
      <w:pPr>
        <w:spacing w:after="0" w:line="240" w:lineRule="auto"/>
        <w:jc w:val="center"/>
        <w:rPr>
          <w:rFonts w:ascii="Times New Roman" w:hAnsi="Times New Roman" w:cs="Times New Roman"/>
          <w:b/>
          <w:sz w:val="36"/>
        </w:rPr>
      </w:pPr>
    </w:p>
    <w:p w:rsidR="000457B7" w:rsidRDefault="000457B7" w:rsidP="00FC6D57">
      <w:pPr>
        <w:spacing w:after="0" w:line="240" w:lineRule="auto"/>
        <w:jc w:val="center"/>
        <w:rPr>
          <w:rFonts w:ascii="Times New Roman" w:hAnsi="Times New Roman" w:cs="Times New Roman"/>
          <w:sz w:val="28"/>
        </w:rPr>
      </w:pPr>
      <w:proofErr w:type="spellStart"/>
      <w:r w:rsidRPr="0043348A">
        <w:rPr>
          <w:rFonts w:ascii="Times New Roman" w:hAnsi="Times New Roman" w:cs="Times New Roman"/>
          <w:sz w:val="28"/>
        </w:rPr>
        <w:t>Marilou</w:t>
      </w:r>
      <w:proofErr w:type="spellEnd"/>
      <w:r>
        <w:rPr>
          <w:rFonts w:ascii="Times New Roman" w:hAnsi="Times New Roman" w:cs="Times New Roman"/>
          <w:sz w:val="28"/>
        </w:rPr>
        <w:t xml:space="preserve"> P. Oroceo</w:t>
      </w:r>
      <w:r>
        <w:rPr>
          <w:rFonts w:ascii="Times New Roman" w:hAnsi="Times New Roman" w:cs="Times New Roman"/>
          <w:sz w:val="28"/>
          <w:vertAlign w:val="superscript"/>
        </w:rPr>
        <w:t>1</w:t>
      </w:r>
      <w:r>
        <w:rPr>
          <w:rFonts w:ascii="Times New Roman" w:hAnsi="Times New Roman" w:cs="Times New Roman"/>
          <w:sz w:val="28"/>
        </w:rPr>
        <w:t xml:space="preserve">, </w:t>
      </w:r>
      <w:proofErr w:type="spellStart"/>
      <w:r>
        <w:rPr>
          <w:rFonts w:ascii="Times New Roman" w:hAnsi="Times New Roman" w:cs="Times New Roman"/>
          <w:sz w:val="28"/>
        </w:rPr>
        <w:t>Amelita</w:t>
      </w:r>
      <w:proofErr w:type="spellEnd"/>
      <w:r>
        <w:rPr>
          <w:rFonts w:ascii="Times New Roman" w:hAnsi="Times New Roman" w:cs="Times New Roman"/>
          <w:sz w:val="28"/>
        </w:rPr>
        <w:t xml:space="preserve"> A. Gaerlan</w:t>
      </w:r>
      <w:r>
        <w:rPr>
          <w:rFonts w:ascii="Times New Roman" w:hAnsi="Times New Roman" w:cs="Times New Roman"/>
          <w:sz w:val="28"/>
          <w:vertAlign w:val="superscript"/>
        </w:rPr>
        <w:t>2</w:t>
      </w:r>
    </w:p>
    <w:p w:rsidR="000457B7" w:rsidRPr="00832395" w:rsidRDefault="000457B7" w:rsidP="00FC6D57">
      <w:pPr>
        <w:spacing w:after="0" w:line="240" w:lineRule="auto"/>
        <w:jc w:val="center"/>
        <w:rPr>
          <w:rFonts w:ascii="Times New Roman" w:hAnsi="Times New Roman" w:cs="Times New Roman"/>
          <w:i/>
          <w:sz w:val="20"/>
        </w:rPr>
      </w:pPr>
      <w:r w:rsidRPr="00832395">
        <w:rPr>
          <w:rFonts w:ascii="Times New Roman" w:hAnsi="Times New Roman" w:cs="Times New Roman"/>
          <w:i/>
          <w:sz w:val="20"/>
          <w:vertAlign w:val="superscript"/>
        </w:rPr>
        <w:t>1</w:t>
      </w:r>
      <w:r w:rsidRPr="00832395">
        <w:rPr>
          <w:rFonts w:ascii="Times New Roman" w:hAnsi="Times New Roman" w:cs="Times New Roman"/>
          <w:i/>
          <w:sz w:val="20"/>
        </w:rPr>
        <w:t xml:space="preserve">The Graduate School/University of Santo Tomas, </w:t>
      </w:r>
      <w:proofErr w:type="spellStart"/>
      <w:r w:rsidR="009053E4">
        <w:rPr>
          <w:rFonts w:ascii="Times New Roman" w:hAnsi="Times New Roman" w:cs="Times New Roman"/>
          <w:i/>
          <w:sz w:val="20"/>
        </w:rPr>
        <w:t>Espa</w:t>
      </w:r>
      <w:r w:rsidR="00EC2888">
        <w:rPr>
          <w:rFonts w:ascii="Times New Roman" w:hAnsi="Times New Roman" w:cs="Times New Roman"/>
          <w:i/>
          <w:sz w:val="20"/>
        </w:rPr>
        <w:t>n</w:t>
      </w:r>
      <w:r w:rsidR="009053E4">
        <w:rPr>
          <w:rFonts w:ascii="Times New Roman" w:hAnsi="Times New Roman" w:cs="Times New Roman"/>
          <w:i/>
          <w:sz w:val="20"/>
        </w:rPr>
        <w:t>a</w:t>
      </w:r>
      <w:proofErr w:type="spellEnd"/>
      <w:r w:rsidR="009053E4">
        <w:rPr>
          <w:rFonts w:ascii="Times New Roman" w:hAnsi="Times New Roman" w:cs="Times New Roman"/>
          <w:i/>
          <w:sz w:val="20"/>
        </w:rPr>
        <w:t xml:space="preserve">, Manila, </w:t>
      </w:r>
      <w:r w:rsidRPr="00832395">
        <w:rPr>
          <w:rFonts w:ascii="Times New Roman" w:hAnsi="Times New Roman" w:cs="Times New Roman"/>
          <w:i/>
          <w:sz w:val="20"/>
        </w:rPr>
        <w:t>Philippines</w:t>
      </w:r>
    </w:p>
    <w:p w:rsidR="000457B7" w:rsidRDefault="000457B7" w:rsidP="00FC6D57">
      <w:pPr>
        <w:spacing w:after="0" w:line="240" w:lineRule="auto"/>
        <w:jc w:val="center"/>
        <w:rPr>
          <w:rFonts w:ascii="Times New Roman" w:hAnsi="Times New Roman" w:cs="Times New Roman"/>
          <w:i/>
          <w:sz w:val="20"/>
        </w:rPr>
      </w:pPr>
      <w:r w:rsidRPr="00832395">
        <w:rPr>
          <w:rFonts w:ascii="Times New Roman" w:hAnsi="Times New Roman" w:cs="Times New Roman"/>
          <w:i/>
          <w:sz w:val="20"/>
          <w:vertAlign w:val="superscript"/>
        </w:rPr>
        <w:t>2</w:t>
      </w:r>
      <w:r w:rsidRPr="00832395">
        <w:rPr>
          <w:rFonts w:ascii="Times New Roman" w:hAnsi="Times New Roman" w:cs="Times New Roman"/>
          <w:i/>
          <w:sz w:val="20"/>
        </w:rPr>
        <w:t xml:space="preserve">The Graduate School/University of Santo Tomas, </w:t>
      </w:r>
      <w:proofErr w:type="spellStart"/>
      <w:r w:rsidR="00EC2888">
        <w:rPr>
          <w:rFonts w:ascii="Times New Roman" w:hAnsi="Times New Roman" w:cs="Times New Roman"/>
          <w:i/>
          <w:sz w:val="20"/>
        </w:rPr>
        <w:t>Espana</w:t>
      </w:r>
      <w:proofErr w:type="spellEnd"/>
      <w:r w:rsidR="00EC2888">
        <w:rPr>
          <w:rFonts w:ascii="Times New Roman" w:hAnsi="Times New Roman" w:cs="Times New Roman"/>
          <w:i/>
          <w:sz w:val="20"/>
        </w:rPr>
        <w:t xml:space="preserve">, Manila, </w:t>
      </w:r>
      <w:r w:rsidRPr="00832395">
        <w:rPr>
          <w:rFonts w:ascii="Times New Roman" w:hAnsi="Times New Roman" w:cs="Times New Roman"/>
          <w:i/>
          <w:sz w:val="20"/>
        </w:rPr>
        <w:t>Philippines</w:t>
      </w:r>
    </w:p>
    <w:p w:rsidR="00EC2888" w:rsidRDefault="00EC2888" w:rsidP="00FC6D57">
      <w:pPr>
        <w:spacing w:after="0" w:line="240" w:lineRule="auto"/>
        <w:jc w:val="center"/>
        <w:rPr>
          <w:rFonts w:ascii="Times New Roman" w:hAnsi="Times New Roman" w:cs="Times New Roman"/>
          <w:i/>
          <w:sz w:val="20"/>
        </w:rPr>
      </w:pPr>
      <w:hyperlink r:id="rId8" w:history="1">
        <w:r w:rsidRPr="00FB0E5F">
          <w:rPr>
            <w:rStyle w:val="Hyperlink"/>
            <w:rFonts w:ascii="Times New Roman" w:hAnsi="Times New Roman" w:cs="Times New Roman"/>
            <w:i/>
            <w:sz w:val="20"/>
          </w:rPr>
          <w:t>mporoceo0129@yahoo.com</w:t>
        </w:r>
      </w:hyperlink>
    </w:p>
    <w:p w:rsidR="00EC2888" w:rsidRDefault="00EC2888" w:rsidP="00FC6D57">
      <w:pPr>
        <w:spacing w:after="0" w:line="240" w:lineRule="auto"/>
        <w:jc w:val="center"/>
        <w:rPr>
          <w:rFonts w:ascii="Times New Roman" w:hAnsi="Times New Roman" w:cs="Times New Roman"/>
          <w:i/>
          <w:sz w:val="20"/>
        </w:rPr>
      </w:pPr>
      <w:hyperlink r:id="rId9" w:history="1">
        <w:r w:rsidRPr="00FB0E5F">
          <w:rPr>
            <w:rStyle w:val="Hyperlink"/>
            <w:rFonts w:ascii="Times New Roman" w:hAnsi="Times New Roman" w:cs="Times New Roman"/>
            <w:i/>
            <w:sz w:val="20"/>
          </w:rPr>
          <w:t>amelita_gaerlan@yahoo.com</w:t>
        </w:r>
      </w:hyperlink>
    </w:p>
    <w:p w:rsidR="000457B7" w:rsidRDefault="000457B7" w:rsidP="00FC6D57">
      <w:pPr>
        <w:spacing w:after="0" w:line="240" w:lineRule="auto"/>
        <w:rPr>
          <w:rFonts w:ascii="Times New Roman" w:hAnsi="Times New Roman" w:cs="Times New Roman"/>
        </w:rPr>
      </w:pPr>
    </w:p>
    <w:p w:rsidR="000129C7" w:rsidRPr="000129C7" w:rsidRDefault="000457B7" w:rsidP="00FC6D57">
      <w:pPr>
        <w:spacing w:after="0" w:line="240" w:lineRule="auto"/>
        <w:jc w:val="both"/>
        <w:rPr>
          <w:rFonts w:ascii="Times New Roman" w:hAnsi="Times New Roman" w:cs="Times New Roman"/>
          <w:b/>
          <w:sz w:val="20"/>
        </w:rPr>
      </w:pPr>
      <w:r w:rsidRPr="000129C7">
        <w:rPr>
          <w:rFonts w:ascii="Times New Roman" w:hAnsi="Times New Roman" w:cs="Times New Roman"/>
          <w:b/>
          <w:sz w:val="20"/>
        </w:rPr>
        <w:t>ABSTRACT</w:t>
      </w:r>
    </w:p>
    <w:p w:rsidR="000129C7" w:rsidRDefault="000129C7" w:rsidP="00FC6D57">
      <w:pPr>
        <w:spacing w:after="0" w:line="240" w:lineRule="auto"/>
        <w:jc w:val="both"/>
        <w:rPr>
          <w:rFonts w:ascii="Times New Roman" w:hAnsi="Times New Roman" w:cs="Times New Roman"/>
          <w:b/>
        </w:rPr>
      </w:pPr>
    </w:p>
    <w:p w:rsidR="000457B7" w:rsidRPr="000129C7" w:rsidRDefault="000457B7" w:rsidP="000129C7">
      <w:pPr>
        <w:spacing w:after="0" w:line="360" w:lineRule="auto"/>
        <w:jc w:val="both"/>
        <w:rPr>
          <w:rFonts w:ascii="Times New Roman" w:hAnsi="Times New Roman" w:cs="Times New Roman"/>
        </w:rPr>
      </w:pPr>
      <w:r w:rsidRPr="000129C7">
        <w:rPr>
          <w:rFonts w:ascii="Times New Roman" w:hAnsi="Times New Roman" w:cs="Times New Roman"/>
          <w:b/>
        </w:rPr>
        <w:t xml:space="preserve"> </w:t>
      </w:r>
      <w:r w:rsidR="004B466B">
        <w:rPr>
          <w:rFonts w:ascii="Times New Roman" w:hAnsi="Times New Roman" w:cs="Times New Roman"/>
          <w:b/>
        </w:rPr>
        <w:tab/>
      </w:r>
      <w:r w:rsidRPr="000129C7">
        <w:rPr>
          <w:rFonts w:ascii="Times New Roman" w:hAnsi="Times New Roman" w:cs="Times New Roman"/>
          <w:sz w:val="20"/>
          <w:szCs w:val="20"/>
        </w:rPr>
        <w:t xml:space="preserve">Quality is the watchword in higher education today. Higher education institutions (HEIs) worldwide vie for genuine quality education for the reasons of comparability in international standards, mutual recognition of graduates, students’ mobility and suitability in the demands of the global market. </w:t>
      </w:r>
      <w:r w:rsidR="00F40C7A" w:rsidRPr="000129C7">
        <w:rPr>
          <w:rFonts w:ascii="Times New Roman" w:hAnsi="Times New Roman" w:cs="Times New Roman"/>
          <w:sz w:val="20"/>
          <w:szCs w:val="20"/>
        </w:rPr>
        <w:t>In the Philippines, t</w:t>
      </w:r>
      <w:r w:rsidRPr="000129C7">
        <w:rPr>
          <w:rFonts w:ascii="Times New Roman" w:hAnsi="Times New Roman" w:cs="Times New Roman"/>
          <w:sz w:val="20"/>
          <w:szCs w:val="20"/>
        </w:rPr>
        <w:t>he</w:t>
      </w:r>
      <w:r w:rsidR="00F40C7A" w:rsidRPr="000129C7">
        <w:rPr>
          <w:rFonts w:ascii="Times New Roman" w:hAnsi="Times New Roman" w:cs="Times New Roman"/>
          <w:sz w:val="20"/>
          <w:szCs w:val="20"/>
        </w:rPr>
        <w:t xml:space="preserve"> Commission on Higher Education (CHED), the </w:t>
      </w:r>
      <w:r w:rsidR="00E17122" w:rsidRPr="000129C7">
        <w:rPr>
          <w:rFonts w:ascii="Times New Roman" w:hAnsi="Times New Roman" w:cs="Times New Roman"/>
          <w:sz w:val="20"/>
          <w:szCs w:val="20"/>
        </w:rPr>
        <w:t>governing body for higher education</w:t>
      </w:r>
      <w:r w:rsidR="00F40C7A" w:rsidRPr="000129C7">
        <w:rPr>
          <w:rFonts w:ascii="Times New Roman" w:hAnsi="Times New Roman" w:cs="Times New Roman"/>
          <w:sz w:val="20"/>
          <w:szCs w:val="20"/>
        </w:rPr>
        <w:t xml:space="preserve">, </w:t>
      </w:r>
      <w:r w:rsidRPr="000129C7">
        <w:rPr>
          <w:rFonts w:ascii="Times New Roman" w:hAnsi="Times New Roman" w:cs="Times New Roman"/>
          <w:sz w:val="20"/>
          <w:szCs w:val="20"/>
        </w:rPr>
        <w:t>continuously monitor</w:t>
      </w:r>
      <w:r w:rsidR="00E17122" w:rsidRPr="000129C7">
        <w:rPr>
          <w:rFonts w:ascii="Times New Roman" w:hAnsi="Times New Roman" w:cs="Times New Roman"/>
          <w:sz w:val="20"/>
          <w:szCs w:val="20"/>
        </w:rPr>
        <w:t>s</w:t>
      </w:r>
      <w:r w:rsidRPr="000129C7">
        <w:rPr>
          <w:rFonts w:ascii="Times New Roman" w:hAnsi="Times New Roman" w:cs="Times New Roman"/>
          <w:sz w:val="20"/>
          <w:szCs w:val="20"/>
        </w:rPr>
        <w:t xml:space="preserve"> and evaluate</w:t>
      </w:r>
      <w:r w:rsidR="00E17122" w:rsidRPr="000129C7">
        <w:rPr>
          <w:rFonts w:ascii="Times New Roman" w:hAnsi="Times New Roman" w:cs="Times New Roman"/>
          <w:sz w:val="20"/>
          <w:szCs w:val="20"/>
        </w:rPr>
        <w:t>s</w:t>
      </w:r>
      <w:r w:rsidRPr="000129C7">
        <w:rPr>
          <w:rFonts w:ascii="Times New Roman" w:hAnsi="Times New Roman" w:cs="Times New Roman"/>
          <w:sz w:val="20"/>
          <w:szCs w:val="20"/>
        </w:rPr>
        <w:t xml:space="preserve"> HEIs and program offerings by safeguarding the quality of education to assure that students acquire the best teachings and learnings. This study was conducte</w:t>
      </w:r>
      <w:r w:rsidR="00E17122" w:rsidRPr="000129C7">
        <w:rPr>
          <w:rFonts w:ascii="Times New Roman" w:hAnsi="Times New Roman" w:cs="Times New Roman"/>
          <w:sz w:val="20"/>
          <w:szCs w:val="20"/>
        </w:rPr>
        <w:t>d to critically analyze the extent</w:t>
      </w:r>
      <w:r w:rsidRPr="000129C7">
        <w:rPr>
          <w:rFonts w:ascii="Times New Roman" w:hAnsi="Times New Roman" w:cs="Times New Roman"/>
          <w:sz w:val="20"/>
          <w:szCs w:val="20"/>
        </w:rPr>
        <w:t xml:space="preserve"> of achievement of selected HEIs in the CALABARZON region with quality assurance standards which is based on the four key result areas as follows: access, capacity building, excellence and innovative and ethical governance. It utilized mixed-methods design with application of both quantitative and qualitative approaches. The validity and reliability of data were verified using Cronbach’s alpha (α) wherein 20 individuals composed of several college and university faculty and administrators participated in the pilot testing. The results showed that HEIs in CALABARZON typed as state universities and colleges (SUCs, local universities and colleges (LUCs) and private higher education institutions (PHEIs) are committed to ensure QA in higher education. On the extent of achievement, both LUCs and PHEIs have verbal interpretation of “</w:t>
      </w:r>
      <w:r w:rsidRPr="000129C7">
        <w:rPr>
          <w:rFonts w:ascii="Times New Roman" w:hAnsi="Times New Roman" w:cs="Times New Roman"/>
          <w:b/>
          <w:sz w:val="20"/>
          <w:szCs w:val="20"/>
        </w:rPr>
        <w:t>very high extent</w:t>
      </w:r>
      <w:r w:rsidRPr="000129C7">
        <w:rPr>
          <w:rFonts w:ascii="Times New Roman" w:hAnsi="Times New Roman" w:cs="Times New Roman"/>
          <w:sz w:val="20"/>
          <w:szCs w:val="20"/>
        </w:rPr>
        <w:t>” while SUCs has “</w:t>
      </w:r>
      <w:r w:rsidRPr="000129C7">
        <w:rPr>
          <w:rFonts w:ascii="Times New Roman" w:hAnsi="Times New Roman" w:cs="Times New Roman"/>
          <w:b/>
          <w:sz w:val="20"/>
          <w:szCs w:val="20"/>
        </w:rPr>
        <w:t>high extent</w:t>
      </w:r>
      <w:r w:rsidRPr="000129C7">
        <w:rPr>
          <w:rFonts w:ascii="Times New Roman" w:hAnsi="Times New Roman" w:cs="Times New Roman"/>
          <w:sz w:val="20"/>
          <w:szCs w:val="20"/>
        </w:rPr>
        <w:t>.” Based on the findings, it is recommended that monitoring and evaluation of HEIs in CALABARZON be intensified and an enhanced M &amp; E tool be formulated to indicate achievement on the quality of tertiary education in the region.</w:t>
      </w:r>
      <w:r w:rsidRPr="000129C7">
        <w:rPr>
          <w:rFonts w:ascii="Times New Roman" w:hAnsi="Times New Roman" w:cs="Times New Roman"/>
        </w:rPr>
        <w:t xml:space="preserve"> </w:t>
      </w:r>
    </w:p>
    <w:p w:rsidR="000457B7" w:rsidRPr="000129C7" w:rsidRDefault="000457B7" w:rsidP="000129C7">
      <w:pPr>
        <w:spacing w:after="0" w:line="360" w:lineRule="auto"/>
        <w:jc w:val="both"/>
        <w:rPr>
          <w:rFonts w:ascii="Times New Roman" w:hAnsi="Times New Roman" w:cs="Times New Roman"/>
        </w:rPr>
      </w:pPr>
      <w:r w:rsidRPr="000129C7">
        <w:rPr>
          <w:rFonts w:ascii="Times New Roman" w:hAnsi="Times New Roman" w:cs="Times New Roman"/>
        </w:rPr>
        <w:t xml:space="preserve"> </w:t>
      </w:r>
    </w:p>
    <w:p w:rsidR="000457B7" w:rsidRPr="000129C7" w:rsidRDefault="000457B7" w:rsidP="00FC6D57">
      <w:pPr>
        <w:spacing w:after="0" w:line="240" w:lineRule="auto"/>
        <w:rPr>
          <w:rFonts w:ascii="Times New Roman" w:hAnsi="Times New Roman" w:cs="Times New Roman"/>
          <w:sz w:val="20"/>
          <w:szCs w:val="20"/>
        </w:rPr>
      </w:pPr>
      <w:r w:rsidRPr="000129C7">
        <w:rPr>
          <w:rFonts w:ascii="Times New Roman" w:hAnsi="Times New Roman" w:cs="Times New Roman"/>
          <w:b/>
          <w:sz w:val="20"/>
        </w:rPr>
        <w:t>Keywords</w:t>
      </w:r>
      <w:r w:rsidRPr="000129C7">
        <w:rPr>
          <w:rFonts w:ascii="Times New Roman" w:hAnsi="Times New Roman" w:cs="Times New Roman"/>
          <w:b/>
        </w:rPr>
        <w:t xml:space="preserve">: </w:t>
      </w:r>
      <w:r w:rsidRPr="000129C7">
        <w:rPr>
          <w:rFonts w:ascii="Times New Roman" w:hAnsi="Times New Roman" w:cs="Times New Roman"/>
          <w:sz w:val="20"/>
          <w:szCs w:val="20"/>
        </w:rPr>
        <w:t>achievement, compliance, critical analysis, quality assurance</w:t>
      </w:r>
    </w:p>
    <w:p w:rsidR="000457B7" w:rsidRDefault="000457B7" w:rsidP="00FC6D57">
      <w:pPr>
        <w:pStyle w:val="ListParagraph"/>
        <w:tabs>
          <w:tab w:val="left" w:pos="360"/>
        </w:tabs>
        <w:spacing w:after="0" w:line="240" w:lineRule="auto"/>
        <w:ind w:left="0"/>
        <w:rPr>
          <w:rFonts w:ascii="Times New Roman" w:hAnsi="Times New Roman" w:cs="Times New Roman"/>
          <w:b/>
          <w:caps/>
        </w:rPr>
      </w:pPr>
    </w:p>
    <w:p w:rsidR="000457B7" w:rsidRPr="000129C7" w:rsidRDefault="000129C7" w:rsidP="000129C7">
      <w:pPr>
        <w:pStyle w:val="ListParagraph"/>
        <w:numPr>
          <w:ilvl w:val="0"/>
          <w:numId w:val="10"/>
        </w:numPr>
        <w:tabs>
          <w:tab w:val="left" w:pos="-90"/>
          <w:tab w:val="left" w:pos="360"/>
        </w:tabs>
        <w:spacing w:after="0" w:line="240" w:lineRule="auto"/>
        <w:ind w:hanging="720"/>
        <w:rPr>
          <w:rFonts w:ascii="Times New Roman" w:hAnsi="Times New Roman" w:cs="Times New Roman"/>
          <w:b/>
          <w:caps/>
          <w:sz w:val="20"/>
        </w:rPr>
      </w:pPr>
      <w:r>
        <w:rPr>
          <w:rFonts w:ascii="Times New Roman" w:hAnsi="Times New Roman" w:cs="Times New Roman"/>
          <w:b/>
          <w:caps/>
          <w:sz w:val="20"/>
        </w:rPr>
        <w:t>I</w:t>
      </w:r>
      <w:r>
        <w:rPr>
          <w:rFonts w:ascii="Times New Roman" w:hAnsi="Times New Roman" w:cs="Times New Roman"/>
          <w:b/>
          <w:sz w:val="20"/>
        </w:rPr>
        <w:t>ntroduction</w:t>
      </w:r>
    </w:p>
    <w:p w:rsidR="000457B7" w:rsidRPr="0073210F" w:rsidRDefault="000457B7" w:rsidP="00FC6D57">
      <w:pPr>
        <w:pStyle w:val="ListParagraph"/>
        <w:spacing w:after="0" w:line="240" w:lineRule="auto"/>
        <w:ind w:left="0"/>
        <w:rPr>
          <w:rFonts w:ascii="Times New Roman" w:hAnsi="Times New Roman" w:cs="Times New Roman"/>
          <w:b/>
          <w:caps/>
        </w:rPr>
      </w:pPr>
      <w:r>
        <w:rPr>
          <w:rFonts w:ascii="Times New Roman" w:hAnsi="Times New Roman" w:cs="Times New Roman"/>
          <w:b/>
          <w:caps/>
        </w:rPr>
        <w:tab/>
      </w:r>
    </w:p>
    <w:p w:rsidR="000457B7" w:rsidRDefault="000457B7" w:rsidP="004B466B">
      <w:pPr>
        <w:spacing w:after="0" w:line="360" w:lineRule="auto"/>
        <w:ind w:firstLine="720"/>
        <w:jc w:val="both"/>
        <w:rPr>
          <w:rFonts w:ascii="Times New Roman" w:hAnsi="Times New Roman" w:cs="Times New Roman"/>
          <w:sz w:val="20"/>
          <w:szCs w:val="24"/>
        </w:rPr>
      </w:pPr>
      <w:r w:rsidRPr="004B466B">
        <w:rPr>
          <w:rFonts w:ascii="Times New Roman" w:hAnsi="Times New Roman" w:cs="Times New Roman"/>
          <w:sz w:val="20"/>
          <w:szCs w:val="24"/>
        </w:rPr>
        <w:t xml:space="preserve">Quality </w:t>
      </w:r>
      <w:r w:rsidRPr="000457B7">
        <w:rPr>
          <w:rFonts w:ascii="Times New Roman" w:hAnsi="Times New Roman" w:cs="Times New Roman"/>
          <w:sz w:val="20"/>
          <w:szCs w:val="24"/>
        </w:rPr>
        <w:t xml:space="preserve">is a password in the business world and the education arena. Everything in our midst is equated with quality. In education per se, it is propelled to suit the needs of the labor market by producing quality graduates with the right competencies.  In addition, higher education institutions (HEIs) are encouraged to develop programs that will meet international standards for mutual recognition and to prepare their graduates for a better place in the labor market. With the current challenges confronting higher education where competitiveness takes its course, it is indispensable that higher </w:t>
      </w:r>
      <w:r w:rsidRPr="000457B7">
        <w:rPr>
          <w:rFonts w:ascii="Times New Roman" w:hAnsi="Times New Roman" w:cs="Times New Roman"/>
          <w:sz w:val="20"/>
          <w:szCs w:val="24"/>
        </w:rPr>
        <w:lastRenderedPageBreak/>
        <w:t xml:space="preserve">education institutions should go for quality. Over the years, quality is being pushed in higher education for mutual recognition to international community, eradication of disconnects and meeting the demands of the industries. Quality assurance is the solution to these issues to achieve quality and excellence in higher education. </w:t>
      </w:r>
    </w:p>
    <w:p w:rsidR="00832395" w:rsidRPr="000457B7" w:rsidRDefault="00832395" w:rsidP="004B466B">
      <w:pPr>
        <w:spacing w:after="0" w:line="360" w:lineRule="auto"/>
        <w:ind w:firstLine="720"/>
        <w:jc w:val="both"/>
        <w:rPr>
          <w:rFonts w:ascii="Times New Roman" w:hAnsi="Times New Roman" w:cs="Times New Roman"/>
          <w:sz w:val="20"/>
          <w:szCs w:val="24"/>
        </w:rPr>
      </w:pPr>
    </w:p>
    <w:p w:rsidR="000457B7" w:rsidRPr="000457B7" w:rsidRDefault="000457B7" w:rsidP="004B466B">
      <w:pPr>
        <w:spacing w:after="0" w:line="360" w:lineRule="auto"/>
        <w:ind w:firstLine="720"/>
        <w:jc w:val="both"/>
        <w:rPr>
          <w:rFonts w:ascii="Times New Roman" w:eastAsia="Calibri" w:hAnsi="Times New Roman" w:cs="Times New Roman"/>
          <w:sz w:val="20"/>
          <w:szCs w:val="24"/>
        </w:rPr>
      </w:pPr>
      <w:r w:rsidRPr="000457B7">
        <w:rPr>
          <w:rFonts w:ascii="Times New Roman" w:hAnsi="Times New Roman" w:cs="Times New Roman"/>
          <w:sz w:val="20"/>
          <w:szCs w:val="24"/>
        </w:rPr>
        <w:t>The Commission on Higher Education (CHED), the regulatory body which oversees the administration and operation of higher education institutions (HEIs), is continuously reorganizing and strategizing to make higher education in the country, competitive and comparable with international standards. It is safeguarding the quality of education to assure that students get what is best as i</w:t>
      </w:r>
      <w:r w:rsidRPr="000457B7">
        <w:rPr>
          <w:rFonts w:ascii="Times New Roman" w:eastAsia="Calibri" w:hAnsi="Times New Roman" w:cs="Times New Roman"/>
          <w:sz w:val="20"/>
          <w:szCs w:val="24"/>
        </w:rPr>
        <w:t xml:space="preserve">t has a quality assurance system which is enshrined in Sec. 1 Article 16 of the Philippine Constitution, which states that “the State shall protect the right of all citizens to quality education at all levels. In particular, Republic Act 7722, the Higher Education Act of 1994, mandates the Commission on Higher Education to promote and support quality higher education in the country. It also empowers the Commission to monitor and evaluate performance of programs and institutions of higher learning for appropriate incentives as well as imposition of sanctions. </w:t>
      </w:r>
    </w:p>
    <w:p w:rsidR="000457B7" w:rsidRPr="000457B7" w:rsidRDefault="000457B7" w:rsidP="004B466B">
      <w:pPr>
        <w:spacing w:after="0" w:line="360" w:lineRule="auto"/>
        <w:ind w:firstLine="720"/>
        <w:jc w:val="both"/>
        <w:rPr>
          <w:rFonts w:ascii="Times New Roman" w:eastAsia="Calibri" w:hAnsi="Times New Roman" w:cs="Times New Roman"/>
          <w:sz w:val="20"/>
          <w:szCs w:val="24"/>
        </w:rPr>
      </w:pPr>
    </w:p>
    <w:p w:rsidR="000457B7" w:rsidRPr="000457B7" w:rsidRDefault="000457B7" w:rsidP="004B466B">
      <w:pPr>
        <w:spacing w:after="0" w:line="360" w:lineRule="auto"/>
        <w:ind w:firstLine="720"/>
        <w:jc w:val="both"/>
        <w:rPr>
          <w:rFonts w:ascii="Times New Roman" w:eastAsia="Calibri" w:hAnsi="Times New Roman" w:cs="Times New Roman"/>
          <w:sz w:val="20"/>
          <w:szCs w:val="24"/>
        </w:rPr>
      </w:pPr>
      <w:r w:rsidRPr="000457B7">
        <w:rPr>
          <w:rFonts w:ascii="Times New Roman" w:eastAsia="Calibri" w:hAnsi="Times New Roman" w:cs="Times New Roman"/>
          <w:sz w:val="20"/>
          <w:szCs w:val="24"/>
        </w:rPr>
        <w:t xml:space="preserve">The government has been consistently formulating variety of challenges and demands to all higher education institutions to improve teaching-learning outcomes. The ultimate measure to achieve the end is consistent evaluation in areas or aspects surrounding the educational program. The national government laid down standards to achieve quality and excellence in the education environment. A means to assess if educational institutions exceed the standards and requirements is through accreditation. Meeting the prescribed requirements for government recognition or going beyond the minimum requirements of competencies is a significant index that the goals and programs of the educational institution carry relevance, quality and excellence. The level of quality assurance relates to the degree of performance or exceeding the requirements for quality and excellence of programs in terms of mission, goals and objectives; faculty; curriculum and instruction; students; research, library; physical facilities and learning resources; involvement in extension/community services and administration. </w:t>
      </w:r>
    </w:p>
    <w:p w:rsidR="000457B7" w:rsidRPr="000457B7" w:rsidRDefault="000457B7" w:rsidP="004B466B">
      <w:pPr>
        <w:spacing w:after="0" w:line="360" w:lineRule="auto"/>
        <w:ind w:firstLine="720"/>
        <w:jc w:val="both"/>
        <w:rPr>
          <w:rFonts w:ascii="Times New Roman" w:eastAsia="Calibri" w:hAnsi="Times New Roman" w:cs="Times New Roman"/>
          <w:i/>
          <w:sz w:val="20"/>
          <w:szCs w:val="24"/>
        </w:rPr>
      </w:pPr>
    </w:p>
    <w:p w:rsidR="000457B7" w:rsidRPr="00832395" w:rsidRDefault="000457B7" w:rsidP="004B466B">
      <w:pPr>
        <w:spacing w:line="360" w:lineRule="auto"/>
        <w:ind w:firstLine="630"/>
        <w:jc w:val="both"/>
        <w:rPr>
          <w:sz w:val="18"/>
        </w:rPr>
      </w:pPr>
      <w:r w:rsidRPr="000457B7">
        <w:rPr>
          <w:rFonts w:ascii="Times New Roman" w:eastAsia="Calibri" w:hAnsi="Times New Roman" w:cs="Times New Roman"/>
          <w:i/>
          <w:sz w:val="20"/>
          <w:szCs w:val="24"/>
        </w:rPr>
        <w:t xml:space="preserve">Quality </w:t>
      </w:r>
      <w:r w:rsidRPr="000457B7">
        <w:rPr>
          <w:rFonts w:ascii="Times New Roman" w:eastAsia="Calibri" w:hAnsi="Times New Roman" w:cs="Times New Roman"/>
          <w:sz w:val="20"/>
          <w:szCs w:val="24"/>
        </w:rPr>
        <w:t xml:space="preserve">is described as the totality of features and characteristics of a service that bear on its ability to satisfy stated or implied needs (Friend-Pereira, Lutz &amp; </w:t>
      </w:r>
      <w:proofErr w:type="spellStart"/>
      <w:r w:rsidRPr="000457B7">
        <w:rPr>
          <w:rFonts w:ascii="Times New Roman" w:eastAsia="Calibri" w:hAnsi="Times New Roman" w:cs="Times New Roman"/>
          <w:sz w:val="20"/>
          <w:szCs w:val="24"/>
        </w:rPr>
        <w:t>Heerens</w:t>
      </w:r>
      <w:proofErr w:type="spellEnd"/>
      <w:r w:rsidRPr="000457B7">
        <w:rPr>
          <w:rFonts w:ascii="Times New Roman" w:eastAsia="Calibri" w:hAnsi="Times New Roman" w:cs="Times New Roman"/>
          <w:sz w:val="20"/>
          <w:szCs w:val="24"/>
        </w:rPr>
        <w:t xml:space="preserve"> (2003). Quality in higher education is a multi-dimensional concept which embraces all its functions and activities such as teaching and academic programs, research and scholarship, staffing, students, faculty, equipment, services of the community and the academic environment. Quality takes the form of internal self-evaluation and external reviews conducted by independent expertise. Quality also requires that higher education be characterized by its international dimension, exchange of knowledge, interactive networking, mobility of teachers and students, and international research projects while taking into account the national cultural values and circumstances purpose. </w:t>
      </w:r>
      <w:r w:rsidRPr="000457B7">
        <w:rPr>
          <w:rFonts w:ascii="Times New Roman" w:hAnsi="Times New Roman" w:cs="Times New Roman"/>
          <w:sz w:val="20"/>
          <w:szCs w:val="24"/>
        </w:rPr>
        <w:t xml:space="preserve">The Commission on Higher Education (CHED) has a policy </w:t>
      </w:r>
      <w:r w:rsidRPr="000457B7">
        <w:rPr>
          <w:rFonts w:ascii="Times New Roman" w:hAnsi="Times New Roman" w:cs="Times New Roman"/>
          <w:sz w:val="20"/>
          <w:szCs w:val="24"/>
        </w:rPr>
        <w:lastRenderedPageBreak/>
        <w:t>and strategic plan for effective regulation of higher education institutions (HEIs) in the Philippines (Higher Education Act of 1994). It is important therefore, to ensure that these policies and plans are implemented effectively. It is for this reason that a comprehensive monitoring and evaluation (M &amp; E) tool is put in place with clear indicators to tract progress on all the key areas of the strategic plan. This tool to</w:t>
      </w:r>
      <w:r w:rsidRPr="000457B7">
        <w:rPr>
          <w:sz w:val="18"/>
        </w:rPr>
        <w:t xml:space="preserve"> </w:t>
      </w:r>
      <w:r w:rsidRPr="000457B7">
        <w:rPr>
          <w:rFonts w:ascii="Times New Roman" w:hAnsi="Times New Roman" w:cs="Times New Roman"/>
          <w:sz w:val="20"/>
          <w:szCs w:val="24"/>
        </w:rPr>
        <w:t xml:space="preserve">be effective will have to be enhanced in consultation with the key stakeholders, namely; the State Universities and Colleges (SUCs), Local Universities and Colleges (LUCs), Private Higher Education Institutions (PHEIs), administrators, faculty, students and industries. </w:t>
      </w:r>
    </w:p>
    <w:p w:rsidR="000457B7" w:rsidRPr="000457B7" w:rsidRDefault="000457B7" w:rsidP="004B466B">
      <w:pPr>
        <w:spacing w:after="0" w:line="360" w:lineRule="auto"/>
        <w:ind w:firstLine="720"/>
        <w:jc w:val="both"/>
        <w:rPr>
          <w:rFonts w:ascii="Times New Roman" w:hAnsi="Times New Roman" w:cs="Times New Roman"/>
          <w:sz w:val="20"/>
          <w:szCs w:val="24"/>
        </w:rPr>
      </w:pPr>
      <w:r w:rsidRPr="000457B7">
        <w:rPr>
          <w:rFonts w:ascii="Times New Roman" w:hAnsi="Times New Roman" w:cs="Times New Roman"/>
          <w:sz w:val="20"/>
          <w:szCs w:val="24"/>
        </w:rPr>
        <w:t>The monitoring and evaluation (M &amp; E) tool articulates some of the components of the HEIs and how they should work. It outlines indicators required to calculate each indicator together with sources of data. Furthermore, the document points to how data should flow from various stakeholders to CHED. This is one of the most critical components of the system because without systematic data collection, analysis and compilation of reports, there is no way that monitoring can be done objectively and effectively.</w:t>
      </w:r>
    </w:p>
    <w:p w:rsidR="000457B7" w:rsidRPr="000457B7" w:rsidRDefault="000457B7" w:rsidP="004B466B">
      <w:pPr>
        <w:spacing w:after="0" w:line="360" w:lineRule="auto"/>
        <w:ind w:firstLine="720"/>
        <w:jc w:val="both"/>
        <w:rPr>
          <w:rFonts w:ascii="Times New Roman" w:hAnsi="Times New Roman" w:cs="Times New Roman"/>
          <w:sz w:val="20"/>
          <w:szCs w:val="24"/>
        </w:rPr>
      </w:pPr>
    </w:p>
    <w:p w:rsidR="000457B7" w:rsidRPr="000457B7" w:rsidRDefault="000457B7" w:rsidP="004B466B">
      <w:pPr>
        <w:spacing w:after="0" w:line="360" w:lineRule="auto"/>
        <w:ind w:firstLine="720"/>
        <w:jc w:val="both"/>
        <w:rPr>
          <w:rFonts w:ascii="Times New Roman" w:hAnsi="Times New Roman" w:cs="Times New Roman"/>
          <w:sz w:val="20"/>
          <w:szCs w:val="24"/>
        </w:rPr>
      </w:pPr>
      <w:r w:rsidRPr="000457B7">
        <w:rPr>
          <w:rFonts w:ascii="Times New Roman" w:hAnsi="Times New Roman" w:cs="Times New Roman"/>
          <w:sz w:val="20"/>
          <w:szCs w:val="24"/>
        </w:rPr>
        <w:t xml:space="preserve">The success of this Monitoring and Evaluation (M &amp; E) is dependent on sub-systems at the institutional level, for without regular reporting with accurate reliable data, the system cannot work. The system also has to draw from other sectors such as stakeholders, parents, among others. Higher education institutions (HEIs) have to invest in monitoring for results, in the education as well as in all other sectors in order to have a fully evidence-based planning and decision making (Council on Higher Education, 2013).  </w:t>
      </w:r>
    </w:p>
    <w:p w:rsidR="000457B7" w:rsidRPr="000457B7" w:rsidRDefault="000457B7" w:rsidP="004B466B">
      <w:pPr>
        <w:spacing w:after="0" w:line="360" w:lineRule="auto"/>
        <w:ind w:firstLine="720"/>
        <w:jc w:val="both"/>
        <w:rPr>
          <w:rFonts w:ascii="Times New Roman" w:hAnsi="Times New Roman" w:cs="Times New Roman"/>
          <w:sz w:val="20"/>
          <w:szCs w:val="24"/>
        </w:rPr>
      </w:pPr>
    </w:p>
    <w:p w:rsidR="000457B7" w:rsidRPr="000457B7" w:rsidRDefault="000457B7" w:rsidP="004B466B">
      <w:pPr>
        <w:spacing w:after="0" w:line="360" w:lineRule="auto"/>
        <w:ind w:firstLine="720"/>
        <w:jc w:val="both"/>
        <w:rPr>
          <w:rFonts w:ascii="Times New Roman" w:hAnsi="Times New Roman" w:cs="Times New Roman"/>
          <w:sz w:val="20"/>
          <w:szCs w:val="24"/>
        </w:rPr>
      </w:pPr>
      <w:r w:rsidRPr="000457B7">
        <w:rPr>
          <w:rFonts w:ascii="Times New Roman" w:hAnsi="Times New Roman" w:cs="Times New Roman"/>
          <w:sz w:val="20"/>
          <w:szCs w:val="24"/>
        </w:rPr>
        <w:t>The CHED Regional Offices are deputized to conduct institutional monitoring and evaluation of HEIs and program offerings in their respective regions to ensure that the minimum standards are met and quality education is attained. The focus of this study is to critically analyze the level compliance of selected HEIs in CALABARZON with quality assurance standards through the CHED IV-</w:t>
      </w:r>
      <w:proofErr w:type="gramStart"/>
      <w:r w:rsidRPr="000457B7">
        <w:rPr>
          <w:rFonts w:ascii="Times New Roman" w:hAnsi="Times New Roman" w:cs="Times New Roman"/>
          <w:sz w:val="20"/>
          <w:szCs w:val="24"/>
        </w:rPr>
        <w:t>A</w:t>
      </w:r>
      <w:proofErr w:type="gramEnd"/>
      <w:r w:rsidRPr="000457B7">
        <w:rPr>
          <w:rFonts w:ascii="Times New Roman" w:hAnsi="Times New Roman" w:cs="Times New Roman"/>
          <w:sz w:val="20"/>
          <w:szCs w:val="24"/>
        </w:rPr>
        <w:t xml:space="preserve"> institutional monitoring and evaluation tool. It seeks to determine whether it has helped indicate achievement of quality tertiary education in CALABARZON.  </w:t>
      </w:r>
    </w:p>
    <w:p w:rsidR="000457B7" w:rsidRPr="000457B7" w:rsidRDefault="000457B7" w:rsidP="004B466B">
      <w:pPr>
        <w:spacing w:after="0" w:line="360" w:lineRule="auto"/>
        <w:ind w:firstLine="720"/>
        <w:jc w:val="both"/>
        <w:rPr>
          <w:rFonts w:ascii="Times New Roman" w:hAnsi="Times New Roman" w:cs="Times New Roman"/>
          <w:sz w:val="20"/>
          <w:szCs w:val="24"/>
        </w:rPr>
      </w:pPr>
    </w:p>
    <w:p w:rsidR="000457B7" w:rsidRPr="000457B7" w:rsidRDefault="000457B7" w:rsidP="004B466B">
      <w:pPr>
        <w:spacing w:after="0" w:line="360" w:lineRule="auto"/>
        <w:ind w:firstLine="720"/>
        <w:jc w:val="both"/>
        <w:rPr>
          <w:rFonts w:ascii="Times New Roman" w:hAnsi="Times New Roman" w:cs="Times New Roman"/>
          <w:sz w:val="20"/>
          <w:szCs w:val="24"/>
        </w:rPr>
      </w:pPr>
      <w:r w:rsidRPr="000457B7">
        <w:rPr>
          <w:rFonts w:ascii="Times New Roman" w:hAnsi="Times New Roman" w:cs="Times New Roman"/>
          <w:sz w:val="20"/>
          <w:szCs w:val="24"/>
        </w:rPr>
        <w:t xml:space="preserve">Region IV-A (CALABARZON) has a total number of 343 HEIS which composed of 5 SUCs with 55 Satellite Campuses, 14 LUCs, and 269 private. Out of 343 HEIs, only 7 are autonomous/deregulated, 3 Centers of Excellence and 4 Centers of Development (CMO Nos. 17 &amp; 20, s. 2016). The figures show that only a few can go beyond the minimum standards set by CHED. Some have backslid after the issuance of government recognition due to small enrollment, financial constraint, </w:t>
      </w:r>
      <w:proofErr w:type="gramStart"/>
      <w:r w:rsidRPr="000457B7">
        <w:rPr>
          <w:rFonts w:ascii="Times New Roman" w:hAnsi="Times New Roman" w:cs="Times New Roman"/>
          <w:sz w:val="20"/>
          <w:szCs w:val="24"/>
        </w:rPr>
        <w:t>poor</w:t>
      </w:r>
      <w:proofErr w:type="gramEnd"/>
      <w:r w:rsidRPr="000457B7">
        <w:rPr>
          <w:rFonts w:ascii="Times New Roman" w:hAnsi="Times New Roman" w:cs="Times New Roman"/>
          <w:sz w:val="20"/>
          <w:szCs w:val="24"/>
        </w:rPr>
        <w:t xml:space="preserve"> quality of instruction, sub-standard facilities and low board performance; while others have just settled to meet the minimum requirements.  In the board performance, the overall rating of Region IV-A across all board programs for the last five years from 2011 to 2015 is 32% (PRC). Looking at this figure, it is more likely to consider that there is a need to improve the quality of tertiary education in the region.</w:t>
      </w:r>
    </w:p>
    <w:p w:rsidR="000457B7" w:rsidRPr="000457B7" w:rsidRDefault="000457B7" w:rsidP="004B466B">
      <w:pPr>
        <w:spacing w:after="0" w:line="360" w:lineRule="auto"/>
        <w:ind w:firstLine="720"/>
        <w:jc w:val="both"/>
        <w:rPr>
          <w:rFonts w:ascii="Times New Roman" w:hAnsi="Times New Roman" w:cs="Times New Roman"/>
          <w:sz w:val="20"/>
          <w:szCs w:val="24"/>
        </w:rPr>
      </w:pPr>
      <w:r w:rsidRPr="000457B7">
        <w:rPr>
          <w:rFonts w:ascii="Times New Roman" w:hAnsi="Times New Roman" w:cs="Times New Roman"/>
          <w:sz w:val="20"/>
          <w:szCs w:val="24"/>
        </w:rPr>
        <w:lastRenderedPageBreak/>
        <w:t xml:space="preserve"> </w:t>
      </w:r>
    </w:p>
    <w:p w:rsidR="000457B7" w:rsidRPr="000457B7" w:rsidRDefault="000457B7" w:rsidP="004B466B">
      <w:pPr>
        <w:spacing w:line="360" w:lineRule="auto"/>
        <w:ind w:firstLine="630"/>
        <w:jc w:val="both"/>
        <w:rPr>
          <w:rFonts w:ascii="Times New Roman" w:hAnsi="Times New Roman" w:cs="Times New Roman"/>
          <w:sz w:val="20"/>
          <w:szCs w:val="24"/>
        </w:rPr>
      </w:pPr>
      <w:r w:rsidRPr="000457B7">
        <w:rPr>
          <w:rFonts w:ascii="Times New Roman" w:hAnsi="Times New Roman" w:cs="Times New Roman"/>
          <w:sz w:val="20"/>
          <w:szCs w:val="24"/>
        </w:rPr>
        <w:t xml:space="preserve">To address these issues, an intensive monitoring and evaluation of institutions and program offerings should be implemented by CHED IV-A to assist HEIs attain quality education and increase their level of compliance with the CHED requirements. The institutional monitoring and evaluation tool of HEIs is a footstool in achieving quality assurance mechanism.  This is essential to ascertain the quality in higher education. Therefore, it is plausible that the existing tool should be enhanced to be able to address the call of the times for quality. </w:t>
      </w:r>
    </w:p>
    <w:p w:rsidR="000457B7" w:rsidRPr="000457B7" w:rsidRDefault="000457B7" w:rsidP="004B466B">
      <w:pPr>
        <w:spacing w:after="0" w:line="360" w:lineRule="auto"/>
        <w:ind w:firstLine="720"/>
        <w:jc w:val="both"/>
        <w:rPr>
          <w:rFonts w:ascii="Times New Roman" w:hAnsi="Times New Roman" w:cs="Times New Roman"/>
          <w:sz w:val="20"/>
          <w:szCs w:val="24"/>
        </w:rPr>
      </w:pPr>
      <w:r w:rsidRPr="000457B7">
        <w:rPr>
          <w:rFonts w:ascii="Times New Roman" w:hAnsi="Times New Roman" w:cs="Times New Roman"/>
          <w:sz w:val="20"/>
          <w:szCs w:val="24"/>
        </w:rPr>
        <w:t xml:space="preserve">Moreover, the Philippine education system is at the crossroad in view of the globalization, thus there is an urgent need to shift to another education discourse in addressing its demands and challenges. To have international mutual recognition of our programs and graduates will be a key to the real quality tertiary level education. Higher Education Institutions’ (HEIs) program offerings should be strictly monitored and evaluated to ensure full compliance with the minimum requirements set by CHED vis-a-vis the four functions: instruction, research, community extension and production; these must be aligned with their institutional vision, mission, goals and objectives.    Graduates have to be globally competitive, equipped with the right competencies and attitudes, to meet the demands of the world market. Being competent will give them the opportunity to freely study and work abroad.     With the advent of ASEAN 2015, HEIs in CALABARZON must be ready for its demands and challenges by being competitive and comparable with international standards. Realizing it will bring to the attainment of quality assurance for higher education in the region.   </w:t>
      </w:r>
    </w:p>
    <w:p w:rsidR="000457B7" w:rsidRPr="000457B7" w:rsidRDefault="000457B7" w:rsidP="004B466B">
      <w:pPr>
        <w:spacing w:after="0" w:line="360" w:lineRule="auto"/>
        <w:ind w:firstLine="720"/>
        <w:jc w:val="both"/>
        <w:rPr>
          <w:rFonts w:ascii="Times New Roman" w:hAnsi="Times New Roman" w:cs="Times New Roman"/>
          <w:sz w:val="20"/>
          <w:szCs w:val="24"/>
        </w:rPr>
      </w:pPr>
    </w:p>
    <w:p w:rsidR="000457B7" w:rsidRDefault="000457B7" w:rsidP="004B466B">
      <w:pPr>
        <w:spacing w:after="0" w:line="360" w:lineRule="auto"/>
        <w:ind w:firstLine="720"/>
        <w:jc w:val="both"/>
        <w:rPr>
          <w:rFonts w:ascii="Times New Roman" w:hAnsi="Times New Roman" w:cs="Times New Roman"/>
          <w:sz w:val="20"/>
          <w:szCs w:val="24"/>
        </w:rPr>
      </w:pPr>
      <w:r w:rsidRPr="000457B7">
        <w:rPr>
          <w:rFonts w:ascii="Times New Roman" w:hAnsi="Times New Roman" w:cs="Times New Roman"/>
          <w:sz w:val="20"/>
          <w:szCs w:val="24"/>
        </w:rPr>
        <w:t xml:space="preserve">Lewis, </w:t>
      </w:r>
      <w:proofErr w:type="spellStart"/>
      <w:r w:rsidRPr="000457B7">
        <w:rPr>
          <w:rFonts w:ascii="Times New Roman" w:hAnsi="Times New Roman" w:cs="Times New Roman"/>
          <w:sz w:val="20"/>
          <w:szCs w:val="24"/>
        </w:rPr>
        <w:t>Hendel</w:t>
      </w:r>
      <w:proofErr w:type="spellEnd"/>
      <w:r w:rsidRPr="000457B7">
        <w:rPr>
          <w:rFonts w:ascii="Times New Roman" w:hAnsi="Times New Roman" w:cs="Times New Roman"/>
          <w:sz w:val="20"/>
          <w:szCs w:val="24"/>
        </w:rPr>
        <w:t xml:space="preserve"> &amp; </w:t>
      </w:r>
      <w:proofErr w:type="spellStart"/>
      <w:r w:rsidRPr="000457B7">
        <w:rPr>
          <w:rFonts w:ascii="Times New Roman" w:hAnsi="Times New Roman" w:cs="Times New Roman"/>
          <w:sz w:val="20"/>
          <w:szCs w:val="24"/>
        </w:rPr>
        <w:t>Demyan</w:t>
      </w:r>
      <w:proofErr w:type="spellEnd"/>
      <w:r w:rsidRPr="000457B7">
        <w:rPr>
          <w:rFonts w:ascii="Times New Roman" w:hAnsi="Times New Roman" w:cs="Times New Roman"/>
          <w:sz w:val="20"/>
          <w:szCs w:val="24"/>
        </w:rPr>
        <w:t xml:space="preserve"> Chuck (2003) noted that the forms of public and private higher education institutions have changed dramatically over the past decade. Changes have resulted from both the emergence of private markets and the growth of markets and people through globalization (Knight, 1999).</w:t>
      </w:r>
    </w:p>
    <w:p w:rsidR="00832395" w:rsidRPr="000457B7" w:rsidRDefault="00832395" w:rsidP="004B466B">
      <w:pPr>
        <w:spacing w:after="0" w:line="360" w:lineRule="auto"/>
        <w:ind w:firstLine="720"/>
        <w:jc w:val="both"/>
        <w:rPr>
          <w:rFonts w:ascii="Times New Roman" w:hAnsi="Times New Roman" w:cs="Times New Roman"/>
          <w:sz w:val="20"/>
          <w:szCs w:val="24"/>
        </w:rPr>
      </w:pPr>
    </w:p>
    <w:p w:rsidR="000457B7" w:rsidRDefault="000457B7" w:rsidP="004B466B">
      <w:pPr>
        <w:spacing w:after="0" w:line="360" w:lineRule="auto"/>
        <w:jc w:val="both"/>
        <w:rPr>
          <w:rFonts w:ascii="Times New Roman" w:hAnsi="Times New Roman" w:cs="Times New Roman"/>
          <w:sz w:val="20"/>
          <w:szCs w:val="24"/>
        </w:rPr>
      </w:pPr>
      <w:r w:rsidRPr="000457B7">
        <w:rPr>
          <w:rFonts w:ascii="Times New Roman" w:hAnsi="Times New Roman" w:cs="Times New Roman"/>
          <w:sz w:val="20"/>
          <w:szCs w:val="24"/>
        </w:rPr>
        <w:tab/>
        <w:t xml:space="preserve">This study aimed to conduct a critical analysis of the </w:t>
      </w:r>
      <w:r w:rsidR="004B7059">
        <w:rPr>
          <w:rFonts w:ascii="Times New Roman" w:hAnsi="Times New Roman" w:cs="Times New Roman"/>
          <w:sz w:val="20"/>
          <w:szCs w:val="24"/>
        </w:rPr>
        <w:t>extent</w:t>
      </w:r>
      <w:r w:rsidRPr="000457B7">
        <w:rPr>
          <w:rFonts w:ascii="Times New Roman" w:hAnsi="Times New Roman" w:cs="Times New Roman"/>
          <w:sz w:val="20"/>
          <w:szCs w:val="24"/>
        </w:rPr>
        <w:t xml:space="preserve"> of achievement of selected HEIs in CALABARZON region with quality assurance standards through the existing CHED IV-</w:t>
      </w:r>
      <w:proofErr w:type="gramStart"/>
      <w:r w:rsidRPr="000457B7">
        <w:rPr>
          <w:rFonts w:ascii="Times New Roman" w:hAnsi="Times New Roman" w:cs="Times New Roman"/>
          <w:sz w:val="20"/>
          <w:szCs w:val="24"/>
        </w:rPr>
        <w:t>A</w:t>
      </w:r>
      <w:proofErr w:type="gramEnd"/>
      <w:r w:rsidRPr="000457B7">
        <w:rPr>
          <w:rFonts w:ascii="Times New Roman" w:hAnsi="Times New Roman" w:cs="Times New Roman"/>
          <w:sz w:val="20"/>
          <w:szCs w:val="24"/>
        </w:rPr>
        <w:t xml:space="preserve"> institutional monitoring and evaluation tool.  Furthermore, results of this study can be of help to higher education institutions, stakeholders, researchers and readers in their pursuit of quality education, to deepen their grit for the achievement and realization of having a good self-analysis assessment in meeting certain assessed criteria for quality control. This also serves as input for the</w:t>
      </w:r>
      <w:r w:rsidR="00832395">
        <w:rPr>
          <w:rFonts w:ascii="Times New Roman" w:hAnsi="Times New Roman" w:cs="Times New Roman"/>
          <w:sz w:val="20"/>
          <w:szCs w:val="24"/>
        </w:rPr>
        <w:t xml:space="preserve"> CHED IV-</w:t>
      </w:r>
      <w:proofErr w:type="gramStart"/>
      <w:r w:rsidR="00832395">
        <w:rPr>
          <w:rFonts w:ascii="Times New Roman" w:hAnsi="Times New Roman" w:cs="Times New Roman"/>
          <w:sz w:val="20"/>
          <w:szCs w:val="24"/>
        </w:rPr>
        <w:t xml:space="preserve">A </w:t>
      </w:r>
      <w:r w:rsidR="004B466B">
        <w:rPr>
          <w:rFonts w:ascii="Times New Roman" w:hAnsi="Times New Roman" w:cs="Times New Roman"/>
          <w:sz w:val="20"/>
          <w:szCs w:val="24"/>
        </w:rPr>
        <w:t>and</w:t>
      </w:r>
      <w:proofErr w:type="gramEnd"/>
      <w:r w:rsidR="004B466B">
        <w:rPr>
          <w:rFonts w:ascii="Times New Roman" w:hAnsi="Times New Roman" w:cs="Times New Roman"/>
          <w:sz w:val="20"/>
          <w:szCs w:val="24"/>
        </w:rPr>
        <w:t xml:space="preserve"> </w:t>
      </w:r>
      <w:r w:rsidRPr="000457B7">
        <w:rPr>
          <w:rFonts w:ascii="Times New Roman" w:hAnsi="Times New Roman" w:cs="Times New Roman"/>
          <w:sz w:val="20"/>
          <w:szCs w:val="24"/>
        </w:rPr>
        <w:t xml:space="preserve">school officials to review the existing tool towards its improvement quality measurement. </w:t>
      </w:r>
    </w:p>
    <w:p w:rsidR="000457B7" w:rsidRPr="000457B7" w:rsidRDefault="000457B7" w:rsidP="004B466B">
      <w:pPr>
        <w:spacing w:after="0" w:line="360" w:lineRule="auto"/>
        <w:jc w:val="both"/>
        <w:rPr>
          <w:rFonts w:ascii="Times New Roman" w:hAnsi="Times New Roman" w:cs="Times New Roman"/>
          <w:sz w:val="20"/>
          <w:szCs w:val="24"/>
        </w:rPr>
      </w:pPr>
    </w:p>
    <w:p w:rsidR="000457B7" w:rsidRPr="000457B7" w:rsidRDefault="000457B7" w:rsidP="00FC6D57">
      <w:pPr>
        <w:ind w:firstLine="630"/>
        <w:rPr>
          <w:sz w:val="18"/>
        </w:rPr>
      </w:pPr>
      <w:r w:rsidRPr="000457B7">
        <w:rPr>
          <w:noProof/>
          <w:sz w:val="18"/>
          <w:lang w:eastAsia="en-PH"/>
        </w:rPr>
        <w:lastRenderedPageBreak/>
        <w:drawing>
          <wp:inline distT="0" distB="0" distL="0" distR="0">
            <wp:extent cx="4524375" cy="249555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23718" t="25356" r="20513" b="19979"/>
                    <a:stretch>
                      <a:fillRect/>
                    </a:stretch>
                  </pic:blipFill>
                  <pic:spPr bwMode="auto">
                    <a:xfrm>
                      <a:off x="0" y="0"/>
                      <a:ext cx="4524375" cy="2495550"/>
                    </a:xfrm>
                    <a:prstGeom prst="rect">
                      <a:avLst/>
                    </a:prstGeom>
                    <a:noFill/>
                    <a:ln w="9525">
                      <a:noFill/>
                      <a:miter lim="800000"/>
                      <a:headEnd/>
                      <a:tailEnd/>
                    </a:ln>
                  </pic:spPr>
                </pic:pic>
              </a:graphicData>
            </a:graphic>
          </wp:inline>
        </w:drawing>
      </w:r>
    </w:p>
    <w:p w:rsidR="000457B7" w:rsidRPr="000457B7" w:rsidRDefault="000457B7" w:rsidP="004B466B">
      <w:pPr>
        <w:spacing w:after="0" w:line="360" w:lineRule="auto"/>
        <w:ind w:firstLine="634"/>
        <w:jc w:val="both"/>
        <w:rPr>
          <w:rFonts w:ascii="Times New Roman" w:hAnsi="Times New Roman" w:cs="Times New Roman"/>
          <w:sz w:val="20"/>
          <w:szCs w:val="24"/>
        </w:rPr>
      </w:pPr>
      <w:r w:rsidRPr="000457B7">
        <w:rPr>
          <w:rFonts w:ascii="Times New Roman" w:hAnsi="Times New Roman" w:cs="Times New Roman"/>
          <w:sz w:val="20"/>
          <w:szCs w:val="24"/>
        </w:rPr>
        <w:t xml:space="preserve">The theoretical framework of this study is based on the Organizational Theory Perspective that suggests possible actions and plans to address complexities brought about by organizational reforms that are likely happening in agencies and institutions. </w:t>
      </w:r>
      <w:proofErr w:type="spellStart"/>
      <w:r w:rsidRPr="000457B7">
        <w:rPr>
          <w:rFonts w:ascii="Times New Roman" w:hAnsi="Times New Roman" w:cs="Times New Roman"/>
          <w:sz w:val="20"/>
          <w:szCs w:val="24"/>
        </w:rPr>
        <w:t>Brunsson</w:t>
      </w:r>
      <w:proofErr w:type="spellEnd"/>
      <w:r w:rsidRPr="000457B7">
        <w:rPr>
          <w:rFonts w:ascii="Times New Roman" w:hAnsi="Times New Roman" w:cs="Times New Roman"/>
          <w:sz w:val="20"/>
          <w:szCs w:val="24"/>
        </w:rPr>
        <w:t xml:space="preserve"> (1995) introduces three concepts to the analysis of organizational reforms, namely; talk level, decision-making level, and action level. The talk level describes the communication of concepts and plans for the organization’s development. The decision-making level refers to the level where elaboration takes place for structures securing the implementation of stipulated policies. Lastly, the action level refers to the actual implementation of policies within the individual university or department. These concepts may be the best approaches in managing issues, policies, and programs in an organization.</w:t>
      </w:r>
    </w:p>
    <w:p w:rsidR="000457B7" w:rsidRPr="000457B7" w:rsidRDefault="000457B7" w:rsidP="00FC6D57">
      <w:pPr>
        <w:spacing w:after="0" w:line="240" w:lineRule="auto"/>
        <w:jc w:val="both"/>
        <w:rPr>
          <w:rFonts w:ascii="Times New Roman" w:hAnsi="Times New Roman" w:cs="Times New Roman"/>
          <w:sz w:val="20"/>
          <w:szCs w:val="24"/>
        </w:rPr>
      </w:pPr>
    </w:p>
    <w:p w:rsidR="000457B7" w:rsidRDefault="0049030E" w:rsidP="00FC6D57">
      <w:pPr>
        <w:spacing w:after="0" w:line="240" w:lineRule="auto"/>
        <w:jc w:val="both"/>
        <w:rPr>
          <w:rFonts w:ascii="Times New Roman" w:hAnsi="Times New Roman" w:cs="Times New Roman"/>
          <w:sz w:val="24"/>
          <w:szCs w:val="24"/>
        </w:rPr>
      </w:pPr>
      <w:r w:rsidRPr="000457B7">
        <w:rPr>
          <w:rFonts w:ascii="Times New Roman" w:hAnsi="Times New Roman" w:cs="Times New Roman"/>
          <w:noProof/>
          <w:sz w:val="24"/>
          <w:szCs w:val="24"/>
          <w:lang w:eastAsia="en-PH"/>
        </w:rPr>
        <w:lastRenderedPageBreak/>
        <w:drawing>
          <wp:inline distT="0" distB="0" distL="0" distR="0">
            <wp:extent cx="5400675" cy="432028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26765" t="27655" r="27820" b="8262"/>
                    <a:stretch>
                      <a:fillRect/>
                    </a:stretch>
                  </pic:blipFill>
                  <pic:spPr bwMode="auto">
                    <a:xfrm>
                      <a:off x="0" y="0"/>
                      <a:ext cx="5403604" cy="4322629"/>
                    </a:xfrm>
                    <a:prstGeom prst="rect">
                      <a:avLst/>
                    </a:prstGeom>
                    <a:noFill/>
                    <a:ln w="9525">
                      <a:noFill/>
                      <a:miter lim="800000"/>
                      <a:headEnd/>
                      <a:tailEnd/>
                    </a:ln>
                  </pic:spPr>
                </pic:pic>
              </a:graphicData>
            </a:graphic>
          </wp:inline>
        </w:drawing>
      </w:r>
    </w:p>
    <w:p w:rsidR="000457B7" w:rsidRPr="000457B7" w:rsidRDefault="000457B7" w:rsidP="004B466B">
      <w:pPr>
        <w:spacing w:after="0" w:line="360" w:lineRule="auto"/>
        <w:ind w:firstLine="720"/>
        <w:jc w:val="both"/>
        <w:rPr>
          <w:rFonts w:eastAsia="Calibri"/>
          <w:sz w:val="20"/>
          <w:szCs w:val="24"/>
        </w:rPr>
      </w:pPr>
      <w:r w:rsidRPr="000457B7">
        <w:rPr>
          <w:rFonts w:ascii="Times New Roman" w:hAnsi="Times New Roman" w:cs="Times New Roman"/>
          <w:sz w:val="20"/>
          <w:szCs w:val="24"/>
        </w:rPr>
        <w:t>The research paradigm (Figure 1) presents what the study is all about. It consists of three parts: namely; input, process, and output. The input consists of the tools used to substantiate the conduct of the study. The process reflects the employment in the generation of data and information. The output states the enhanced monitoring and evaluation tool for the intensification of quality assurance among HEIs in the CALABARZON region. The feedback loop in this study will solely depend on the directions of the three parts: input, process and output.</w:t>
      </w:r>
      <w:r w:rsidRPr="000457B7">
        <w:rPr>
          <w:rFonts w:eastAsia="Calibri"/>
          <w:sz w:val="20"/>
          <w:szCs w:val="24"/>
        </w:rPr>
        <w:t xml:space="preserve"> The arrows indicate that each component influences the other. The change that occurs in one component will definitely create a greater change to the other component and vice versa; thus, the cycle continues.</w:t>
      </w:r>
    </w:p>
    <w:p w:rsidR="000457B7" w:rsidRPr="000457B7" w:rsidRDefault="000457B7" w:rsidP="004B466B">
      <w:pPr>
        <w:spacing w:after="0" w:line="360" w:lineRule="auto"/>
        <w:jc w:val="both"/>
        <w:rPr>
          <w:rFonts w:ascii="Times New Roman" w:hAnsi="Times New Roman" w:cs="Times New Roman"/>
          <w:sz w:val="20"/>
          <w:szCs w:val="24"/>
        </w:rPr>
      </w:pPr>
    </w:p>
    <w:p w:rsidR="004B466B" w:rsidRDefault="004B466B" w:rsidP="004B466B">
      <w:pPr>
        <w:pStyle w:val="ListParagraph"/>
        <w:numPr>
          <w:ilvl w:val="0"/>
          <w:numId w:val="10"/>
        </w:numPr>
        <w:spacing w:after="0" w:line="360" w:lineRule="auto"/>
        <w:ind w:left="270" w:hanging="270"/>
        <w:jc w:val="both"/>
        <w:rPr>
          <w:rFonts w:ascii="Times New Roman" w:hAnsi="Times New Roman" w:cs="Times New Roman"/>
          <w:b/>
          <w:szCs w:val="24"/>
        </w:rPr>
      </w:pPr>
      <w:r>
        <w:rPr>
          <w:rFonts w:ascii="Times New Roman" w:hAnsi="Times New Roman" w:cs="Times New Roman"/>
          <w:b/>
          <w:szCs w:val="24"/>
        </w:rPr>
        <w:t>Methodology</w:t>
      </w:r>
    </w:p>
    <w:p w:rsidR="000457B7" w:rsidRPr="004B466B" w:rsidRDefault="000457B7" w:rsidP="004B466B">
      <w:pPr>
        <w:pStyle w:val="ListParagraph"/>
        <w:spacing w:after="0" w:line="360" w:lineRule="auto"/>
        <w:ind w:left="270"/>
        <w:jc w:val="both"/>
        <w:rPr>
          <w:rFonts w:ascii="Times New Roman" w:hAnsi="Times New Roman" w:cs="Times New Roman"/>
          <w:b/>
          <w:szCs w:val="24"/>
        </w:rPr>
      </w:pPr>
      <w:r w:rsidRPr="004B466B">
        <w:rPr>
          <w:b/>
          <w:sz w:val="20"/>
          <w:szCs w:val="24"/>
        </w:rPr>
        <w:tab/>
      </w:r>
    </w:p>
    <w:p w:rsidR="000457B7" w:rsidRPr="000457B7" w:rsidRDefault="000457B7" w:rsidP="004B466B">
      <w:pPr>
        <w:spacing w:after="0" w:line="360" w:lineRule="auto"/>
        <w:ind w:hanging="180"/>
        <w:jc w:val="both"/>
        <w:rPr>
          <w:sz w:val="20"/>
          <w:szCs w:val="24"/>
        </w:rPr>
      </w:pPr>
      <w:r w:rsidRPr="000457B7">
        <w:rPr>
          <w:sz w:val="20"/>
          <w:szCs w:val="24"/>
        </w:rPr>
        <w:tab/>
      </w:r>
      <w:r w:rsidRPr="000457B7">
        <w:rPr>
          <w:sz w:val="20"/>
          <w:szCs w:val="24"/>
        </w:rPr>
        <w:tab/>
      </w:r>
      <w:r w:rsidRPr="000457B7">
        <w:rPr>
          <w:sz w:val="20"/>
          <w:szCs w:val="24"/>
        </w:rPr>
        <w:tab/>
        <w:t>This study utilized the mixed-methods design. Mixed-methods is considered as the third approach (</w:t>
      </w:r>
      <w:proofErr w:type="spellStart"/>
      <w:r w:rsidRPr="000457B7">
        <w:rPr>
          <w:sz w:val="20"/>
          <w:szCs w:val="24"/>
        </w:rPr>
        <w:t>Dayle</w:t>
      </w:r>
      <w:proofErr w:type="spellEnd"/>
      <w:r w:rsidRPr="000457B7">
        <w:rPr>
          <w:sz w:val="20"/>
          <w:szCs w:val="24"/>
        </w:rPr>
        <w:t xml:space="preserve">, Brady &amp; </w:t>
      </w:r>
      <w:proofErr w:type="spellStart"/>
      <w:r w:rsidRPr="000457B7">
        <w:rPr>
          <w:sz w:val="20"/>
          <w:szCs w:val="24"/>
        </w:rPr>
        <w:t>Bynne</w:t>
      </w:r>
      <w:proofErr w:type="spellEnd"/>
      <w:r w:rsidRPr="000457B7">
        <w:rPr>
          <w:sz w:val="20"/>
          <w:szCs w:val="24"/>
        </w:rPr>
        <w:t xml:space="preserve">, (2009). The mixed-methods sequential explanatory design is explained by </w:t>
      </w:r>
      <w:proofErr w:type="spellStart"/>
      <w:r w:rsidRPr="000457B7">
        <w:rPr>
          <w:sz w:val="20"/>
          <w:szCs w:val="24"/>
        </w:rPr>
        <w:t>Ivankova</w:t>
      </w:r>
      <w:proofErr w:type="spellEnd"/>
      <w:r w:rsidRPr="000457B7">
        <w:rPr>
          <w:sz w:val="20"/>
          <w:szCs w:val="24"/>
        </w:rPr>
        <w:t>, Creswell &amp; Stick</w:t>
      </w:r>
      <w:r w:rsidRPr="000457B7">
        <w:rPr>
          <w:color w:val="FF0000"/>
          <w:sz w:val="20"/>
          <w:szCs w:val="24"/>
        </w:rPr>
        <w:t xml:space="preserve"> </w:t>
      </w:r>
      <w:r w:rsidRPr="000457B7">
        <w:rPr>
          <w:sz w:val="20"/>
          <w:szCs w:val="24"/>
        </w:rPr>
        <w:t xml:space="preserve">(2006). This means collecting and analyzing quantitative and then qualitative data in two consecutive phases within one study. Such issues include deciding on the priority on weight given to the quantitative and qualitative data collection and analysis in the study, the sequence of the data collection and analysis, and the stage/stages in the research process at which the quantitative and qualitative data are connected and the results are integrated. The researcher </w:t>
      </w:r>
      <w:r w:rsidRPr="000457B7">
        <w:rPr>
          <w:sz w:val="20"/>
          <w:szCs w:val="24"/>
        </w:rPr>
        <w:lastRenderedPageBreak/>
        <w:t xml:space="preserve">critically evaluated and analyzed the extent of achievement of selected HEIs in the CALABARZON region with quality assurance in terms of access, capacity building, excellence and ethical and innovative governance.  </w:t>
      </w:r>
    </w:p>
    <w:p w:rsidR="000457B7" w:rsidRPr="000457B7" w:rsidRDefault="000457B7" w:rsidP="004B466B">
      <w:pPr>
        <w:spacing w:after="0" w:line="360" w:lineRule="auto"/>
        <w:jc w:val="both"/>
        <w:rPr>
          <w:rFonts w:ascii="Times New Roman" w:hAnsi="Times New Roman" w:cs="Times New Roman"/>
          <w:sz w:val="20"/>
          <w:szCs w:val="24"/>
        </w:rPr>
      </w:pPr>
    </w:p>
    <w:p w:rsidR="000457B7" w:rsidRDefault="000457B7" w:rsidP="004B466B">
      <w:pPr>
        <w:spacing w:after="0" w:line="360" w:lineRule="auto"/>
        <w:ind w:firstLine="720"/>
        <w:jc w:val="both"/>
        <w:rPr>
          <w:rFonts w:eastAsia="Calibri"/>
          <w:sz w:val="20"/>
          <w:szCs w:val="24"/>
        </w:rPr>
      </w:pPr>
      <w:r w:rsidRPr="000457B7">
        <w:rPr>
          <w:rFonts w:ascii="Times New Roman" w:hAnsi="Times New Roman" w:cs="Times New Roman"/>
          <w:sz w:val="20"/>
          <w:szCs w:val="24"/>
        </w:rPr>
        <w:t xml:space="preserve">The research paradigm (Figure </w:t>
      </w:r>
      <w:r w:rsidR="004B7059">
        <w:rPr>
          <w:rFonts w:ascii="Times New Roman" w:hAnsi="Times New Roman" w:cs="Times New Roman"/>
          <w:sz w:val="20"/>
          <w:szCs w:val="24"/>
        </w:rPr>
        <w:t>2</w:t>
      </w:r>
      <w:r w:rsidRPr="000457B7">
        <w:rPr>
          <w:rFonts w:ascii="Times New Roman" w:hAnsi="Times New Roman" w:cs="Times New Roman"/>
          <w:sz w:val="20"/>
          <w:szCs w:val="24"/>
        </w:rPr>
        <w:t>) presents what the study is all about. It consists of three parts: namely; input, process, and output. The input consists of the tools used to substantiate the conduct of the study. The process reflects the employment in the generation of data and information.</w:t>
      </w:r>
      <w:r w:rsidR="000746F1">
        <w:rPr>
          <w:rFonts w:ascii="Times New Roman" w:hAnsi="Times New Roman" w:cs="Times New Roman"/>
          <w:sz w:val="20"/>
          <w:szCs w:val="24"/>
        </w:rPr>
        <w:t xml:space="preserve"> </w:t>
      </w:r>
      <w:r w:rsidRPr="000457B7">
        <w:rPr>
          <w:rFonts w:ascii="Times New Roman" w:hAnsi="Times New Roman" w:cs="Times New Roman"/>
          <w:sz w:val="20"/>
          <w:szCs w:val="24"/>
        </w:rPr>
        <w:t>The output states the enhanced monitoring and evaluation tool for the intensification of quality assurance among HEIs in the CALABARZON region. The feedback loop in this study will solely depend on the directions of the three parts: input, process and output.</w:t>
      </w:r>
      <w:r w:rsidRPr="000457B7">
        <w:rPr>
          <w:rFonts w:eastAsia="Calibri"/>
          <w:sz w:val="20"/>
          <w:szCs w:val="24"/>
        </w:rPr>
        <w:t xml:space="preserve"> The arrows indicate that each component influences the other. The change that occurs in one component will definitely create a greater change to the other component and vice versa; thus, the cycle continues.</w:t>
      </w:r>
    </w:p>
    <w:p w:rsidR="00832395" w:rsidRPr="00832395" w:rsidRDefault="00832395" w:rsidP="004B466B">
      <w:pPr>
        <w:spacing w:after="0" w:line="360" w:lineRule="auto"/>
        <w:ind w:firstLine="720"/>
        <w:jc w:val="both"/>
        <w:rPr>
          <w:rFonts w:eastAsia="Calibri"/>
          <w:sz w:val="20"/>
          <w:szCs w:val="24"/>
        </w:rPr>
      </w:pPr>
    </w:p>
    <w:p w:rsidR="000457B7" w:rsidRDefault="000457B7" w:rsidP="004B466B">
      <w:pPr>
        <w:spacing w:after="0" w:line="360" w:lineRule="auto"/>
        <w:ind w:firstLine="810"/>
        <w:jc w:val="both"/>
        <w:rPr>
          <w:rFonts w:ascii="Times New Roman" w:hAnsi="Times New Roman" w:cs="Times New Roman"/>
          <w:sz w:val="20"/>
          <w:szCs w:val="24"/>
        </w:rPr>
      </w:pPr>
      <w:r w:rsidRPr="00832395">
        <w:rPr>
          <w:rFonts w:ascii="Times New Roman" w:hAnsi="Times New Roman" w:cs="Times New Roman"/>
          <w:sz w:val="20"/>
          <w:szCs w:val="24"/>
        </w:rPr>
        <w:t xml:space="preserve">The respondents were chosen based on random sampling model. The researcher chose respondents from 5 SUCs, 4 LUCs, 6 PHEIs, and 5 industries in Region IV with a total number of 155.  The basis for choosing the respondent HEIs was the common programs which gained government recognition from CHED IV-A. A questionnaire was used and composed of three (3) parts: 1) demographic characteristics of the respondents; 2) questionnaire proper which covers the level of compliance of the respondent HEIs with minimum CHED requirements where a scale rating of 1-4 was used to determine the level of compliance as per CHED evaluation, specifically from </w:t>
      </w:r>
      <w:r w:rsidRPr="00832395">
        <w:rPr>
          <w:rFonts w:ascii="Times New Roman" w:hAnsi="Times New Roman" w:cs="Times New Roman"/>
          <w:i/>
          <w:sz w:val="20"/>
          <w:szCs w:val="24"/>
        </w:rPr>
        <w:t xml:space="preserve">not at all </w:t>
      </w:r>
      <w:r w:rsidRPr="00832395">
        <w:rPr>
          <w:rFonts w:ascii="Times New Roman" w:hAnsi="Times New Roman" w:cs="Times New Roman"/>
          <w:sz w:val="20"/>
          <w:szCs w:val="24"/>
        </w:rPr>
        <w:t>to</w:t>
      </w:r>
      <w:r w:rsidRPr="00832395">
        <w:rPr>
          <w:rFonts w:ascii="Times New Roman" w:hAnsi="Times New Roman" w:cs="Times New Roman"/>
          <w:i/>
          <w:sz w:val="20"/>
          <w:szCs w:val="24"/>
        </w:rPr>
        <w:t xml:space="preserve"> complied completely</w:t>
      </w:r>
      <w:r w:rsidRPr="00832395">
        <w:rPr>
          <w:rFonts w:ascii="Times New Roman" w:hAnsi="Times New Roman" w:cs="Times New Roman"/>
          <w:sz w:val="20"/>
          <w:szCs w:val="24"/>
        </w:rPr>
        <w:t xml:space="preserve">; 3) the extent to which the components of CHED institutional monitoring and evaluation tool have helped achieve quality assurance of HEIs. The scale rating of 1-5 was used in the third and fourth parts, from </w:t>
      </w:r>
      <w:r w:rsidRPr="00832395">
        <w:rPr>
          <w:rFonts w:ascii="Times New Roman" w:hAnsi="Times New Roman" w:cs="Times New Roman"/>
          <w:i/>
          <w:sz w:val="20"/>
          <w:szCs w:val="24"/>
        </w:rPr>
        <w:t xml:space="preserve">not at all </w:t>
      </w:r>
      <w:r w:rsidRPr="00832395">
        <w:rPr>
          <w:rFonts w:ascii="Times New Roman" w:hAnsi="Times New Roman" w:cs="Times New Roman"/>
          <w:sz w:val="20"/>
          <w:szCs w:val="24"/>
        </w:rPr>
        <w:t>to</w:t>
      </w:r>
      <w:r w:rsidRPr="00832395">
        <w:rPr>
          <w:rFonts w:ascii="Times New Roman" w:hAnsi="Times New Roman" w:cs="Times New Roman"/>
          <w:i/>
          <w:sz w:val="20"/>
          <w:szCs w:val="24"/>
        </w:rPr>
        <w:t xml:space="preserve"> very high extent</w:t>
      </w:r>
      <w:r w:rsidRPr="00832395">
        <w:rPr>
          <w:rFonts w:ascii="Times New Roman" w:hAnsi="Times New Roman" w:cs="Times New Roman"/>
          <w:sz w:val="20"/>
          <w:szCs w:val="24"/>
        </w:rPr>
        <w:t xml:space="preserve">.  </w:t>
      </w:r>
    </w:p>
    <w:p w:rsidR="004B7059" w:rsidRPr="00832395" w:rsidRDefault="004B7059" w:rsidP="004B466B">
      <w:pPr>
        <w:spacing w:after="0" w:line="360" w:lineRule="auto"/>
        <w:ind w:firstLine="810"/>
        <w:jc w:val="both"/>
        <w:rPr>
          <w:sz w:val="20"/>
          <w:szCs w:val="24"/>
        </w:rPr>
      </w:pPr>
    </w:p>
    <w:p w:rsidR="004B7059" w:rsidRPr="00832395" w:rsidRDefault="004B7059" w:rsidP="004B466B">
      <w:pPr>
        <w:spacing w:after="0" w:line="360" w:lineRule="auto"/>
        <w:ind w:firstLine="806"/>
        <w:jc w:val="both"/>
        <w:rPr>
          <w:rFonts w:ascii="Times New Roman" w:hAnsi="Times New Roman" w:cs="Times New Roman"/>
          <w:sz w:val="20"/>
          <w:szCs w:val="24"/>
        </w:rPr>
      </w:pPr>
      <w:r w:rsidRPr="00832395">
        <w:rPr>
          <w:rFonts w:ascii="Times New Roman" w:hAnsi="Times New Roman" w:cs="Times New Roman"/>
          <w:sz w:val="20"/>
          <w:szCs w:val="24"/>
        </w:rPr>
        <w:t>A semi-structured interview was constructed and administered to administrators, faculty, students and industries. Also, an observation was used as a tool in discovering some methods and practices for quality assurance mechanisms. The questionnaire-interview in this study was utilized occasionally in this study.</w:t>
      </w:r>
    </w:p>
    <w:p w:rsidR="004B7059" w:rsidRPr="00832395" w:rsidRDefault="004B7059" w:rsidP="004B466B">
      <w:pPr>
        <w:spacing w:after="0" w:line="360" w:lineRule="auto"/>
        <w:ind w:firstLine="806"/>
        <w:jc w:val="both"/>
        <w:rPr>
          <w:rFonts w:ascii="Times New Roman" w:hAnsi="Times New Roman" w:cs="Times New Roman"/>
          <w:sz w:val="20"/>
          <w:szCs w:val="24"/>
        </w:rPr>
      </w:pPr>
    </w:p>
    <w:p w:rsidR="004B7059" w:rsidRPr="00832395" w:rsidRDefault="004B7059" w:rsidP="004B466B">
      <w:pPr>
        <w:spacing w:after="0" w:line="360" w:lineRule="auto"/>
        <w:ind w:firstLine="806"/>
        <w:jc w:val="both"/>
        <w:rPr>
          <w:rFonts w:ascii="Times New Roman" w:hAnsi="Times New Roman" w:cs="Times New Roman"/>
          <w:sz w:val="20"/>
          <w:szCs w:val="24"/>
        </w:rPr>
      </w:pPr>
      <w:r w:rsidRPr="00832395">
        <w:rPr>
          <w:rFonts w:ascii="Times New Roman" w:hAnsi="Times New Roman" w:cs="Times New Roman"/>
          <w:sz w:val="20"/>
          <w:szCs w:val="24"/>
        </w:rPr>
        <w:t>The data gathered in this study were analyzed using the following statistical tools:</w:t>
      </w:r>
    </w:p>
    <w:p w:rsidR="004B7059" w:rsidRPr="00832395" w:rsidRDefault="004B7059" w:rsidP="004B466B">
      <w:pPr>
        <w:spacing w:after="0" w:line="360" w:lineRule="auto"/>
        <w:ind w:firstLine="806"/>
        <w:jc w:val="both"/>
        <w:rPr>
          <w:rFonts w:ascii="Times New Roman" w:hAnsi="Times New Roman" w:cs="Times New Roman"/>
          <w:sz w:val="20"/>
          <w:szCs w:val="24"/>
        </w:rPr>
      </w:pPr>
    </w:p>
    <w:p w:rsidR="004B7059" w:rsidRPr="00832395" w:rsidRDefault="004B7059" w:rsidP="004B466B">
      <w:pPr>
        <w:pStyle w:val="ListParagraph"/>
        <w:numPr>
          <w:ilvl w:val="0"/>
          <w:numId w:val="1"/>
        </w:numPr>
        <w:spacing w:after="0" w:line="360" w:lineRule="auto"/>
        <w:ind w:left="0" w:firstLine="0"/>
        <w:jc w:val="both"/>
        <w:rPr>
          <w:rFonts w:ascii="Times New Roman" w:hAnsi="Times New Roman" w:cs="Times New Roman"/>
          <w:sz w:val="20"/>
          <w:szCs w:val="24"/>
        </w:rPr>
      </w:pPr>
      <w:r w:rsidRPr="00832395">
        <w:rPr>
          <w:rFonts w:ascii="Times New Roman" w:hAnsi="Times New Roman" w:cs="Times New Roman"/>
          <w:sz w:val="20"/>
          <w:szCs w:val="24"/>
        </w:rPr>
        <w:t>Frequency and percentage to determine the demographic characteristics of the respondents.</w:t>
      </w:r>
    </w:p>
    <w:p w:rsidR="004B7059" w:rsidRPr="00832395" w:rsidRDefault="004B7059" w:rsidP="004B466B">
      <w:pPr>
        <w:pStyle w:val="ListParagraph"/>
        <w:numPr>
          <w:ilvl w:val="0"/>
          <w:numId w:val="1"/>
        </w:numPr>
        <w:spacing w:after="0" w:line="360" w:lineRule="auto"/>
        <w:ind w:left="0" w:firstLine="0"/>
        <w:jc w:val="both"/>
        <w:rPr>
          <w:rFonts w:ascii="Times New Roman" w:hAnsi="Times New Roman" w:cs="Times New Roman"/>
          <w:sz w:val="20"/>
          <w:szCs w:val="24"/>
        </w:rPr>
      </w:pPr>
      <w:r w:rsidRPr="00832395">
        <w:rPr>
          <w:rFonts w:ascii="Times New Roman" w:hAnsi="Times New Roman" w:cs="Times New Roman"/>
          <w:sz w:val="20"/>
          <w:szCs w:val="24"/>
        </w:rPr>
        <w:t>Weighted mean to measure the extent the institutional monitoring and evaluation tool components have helped achieve quality assurance of HEIs in the CALABARZON area; this assessed the overall response in each item.</w:t>
      </w:r>
    </w:p>
    <w:p w:rsidR="004B7059" w:rsidRPr="00832395" w:rsidRDefault="004B7059" w:rsidP="004B466B">
      <w:pPr>
        <w:pStyle w:val="ListParagraph"/>
        <w:numPr>
          <w:ilvl w:val="0"/>
          <w:numId w:val="1"/>
        </w:numPr>
        <w:spacing w:after="0" w:line="360" w:lineRule="auto"/>
        <w:ind w:left="0" w:firstLine="0"/>
        <w:jc w:val="both"/>
        <w:rPr>
          <w:rFonts w:ascii="Times New Roman" w:hAnsi="Times New Roman" w:cs="Times New Roman"/>
          <w:sz w:val="20"/>
          <w:szCs w:val="24"/>
        </w:rPr>
      </w:pPr>
      <w:r w:rsidRPr="00832395">
        <w:rPr>
          <w:rFonts w:ascii="Times New Roman" w:hAnsi="Times New Roman" w:cs="Times New Roman"/>
          <w:sz w:val="20"/>
          <w:szCs w:val="24"/>
        </w:rPr>
        <w:t>Multiple regression to find the linear relationship between an outcome (dependent) variable and several predictors (independent variables). Multiple analysis using SPSS will be employed to determine the simultaneous effect of all the independent variables on the dependent variables.</w:t>
      </w:r>
    </w:p>
    <w:p w:rsidR="00900611" w:rsidRDefault="004B7059" w:rsidP="004B466B">
      <w:pPr>
        <w:pStyle w:val="ListParagraph"/>
        <w:numPr>
          <w:ilvl w:val="0"/>
          <w:numId w:val="1"/>
        </w:numPr>
        <w:spacing w:after="0" w:line="360" w:lineRule="auto"/>
        <w:ind w:left="0" w:firstLine="0"/>
        <w:jc w:val="both"/>
        <w:rPr>
          <w:rFonts w:ascii="Times New Roman" w:hAnsi="Times New Roman" w:cs="Times New Roman"/>
          <w:sz w:val="24"/>
          <w:szCs w:val="24"/>
        </w:rPr>
      </w:pPr>
      <w:r w:rsidRPr="00832395">
        <w:rPr>
          <w:rFonts w:ascii="Times New Roman" w:hAnsi="Times New Roman" w:cs="Times New Roman"/>
          <w:sz w:val="20"/>
          <w:szCs w:val="24"/>
        </w:rPr>
        <w:lastRenderedPageBreak/>
        <w:t>Cronbach’s alpha to verify the validity and reliability of data.</w:t>
      </w:r>
    </w:p>
    <w:p w:rsidR="00900611" w:rsidRDefault="00900611" w:rsidP="00900611">
      <w:pPr>
        <w:pStyle w:val="ListParagraph"/>
        <w:spacing w:after="0" w:line="240" w:lineRule="auto"/>
        <w:ind w:left="0"/>
        <w:jc w:val="both"/>
        <w:rPr>
          <w:rFonts w:ascii="Times New Roman" w:hAnsi="Times New Roman" w:cs="Times New Roman"/>
          <w:b/>
          <w:szCs w:val="24"/>
        </w:rPr>
      </w:pPr>
    </w:p>
    <w:p w:rsidR="00AF02CD" w:rsidRPr="003111AF" w:rsidRDefault="00AF02CD" w:rsidP="004B466B">
      <w:pPr>
        <w:pStyle w:val="ListParagraph"/>
        <w:numPr>
          <w:ilvl w:val="0"/>
          <w:numId w:val="10"/>
        </w:numPr>
        <w:spacing w:after="0" w:line="240" w:lineRule="auto"/>
        <w:ind w:left="360"/>
        <w:jc w:val="both"/>
        <w:rPr>
          <w:rFonts w:ascii="Times New Roman" w:hAnsi="Times New Roman" w:cs="Times New Roman"/>
          <w:b/>
          <w:sz w:val="20"/>
          <w:szCs w:val="24"/>
        </w:rPr>
      </w:pPr>
      <w:r w:rsidRPr="003111AF">
        <w:rPr>
          <w:rFonts w:ascii="Times New Roman" w:hAnsi="Times New Roman" w:cs="Times New Roman"/>
          <w:b/>
          <w:sz w:val="20"/>
          <w:szCs w:val="24"/>
        </w:rPr>
        <w:t>R</w:t>
      </w:r>
      <w:r w:rsidR="003111AF" w:rsidRPr="003111AF">
        <w:rPr>
          <w:rFonts w:ascii="Times New Roman" w:hAnsi="Times New Roman" w:cs="Times New Roman"/>
          <w:b/>
          <w:sz w:val="20"/>
          <w:szCs w:val="24"/>
        </w:rPr>
        <w:t>esults and Discussion</w:t>
      </w:r>
    </w:p>
    <w:p w:rsidR="00900611" w:rsidRDefault="00900611" w:rsidP="00AF02CD">
      <w:pPr>
        <w:pStyle w:val="ListParagraph"/>
        <w:spacing w:after="0" w:line="240" w:lineRule="auto"/>
        <w:ind w:left="-540"/>
        <w:jc w:val="both"/>
        <w:rPr>
          <w:rFonts w:ascii="Times New Roman" w:hAnsi="Times New Roman" w:cs="Times New Roman"/>
          <w:b/>
          <w:szCs w:val="24"/>
        </w:rPr>
      </w:pPr>
    </w:p>
    <w:p w:rsidR="000457B7" w:rsidRPr="003111AF" w:rsidRDefault="00900611" w:rsidP="003111AF">
      <w:pPr>
        <w:pStyle w:val="ListParagraph"/>
        <w:numPr>
          <w:ilvl w:val="1"/>
          <w:numId w:val="10"/>
        </w:numPr>
        <w:tabs>
          <w:tab w:val="left" w:pos="360"/>
        </w:tabs>
        <w:autoSpaceDE w:val="0"/>
        <w:autoSpaceDN w:val="0"/>
        <w:adjustRightInd w:val="0"/>
        <w:spacing w:after="0" w:line="240" w:lineRule="auto"/>
        <w:ind w:hanging="1080"/>
        <w:jc w:val="both"/>
        <w:rPr>
          <w:rFonts w:ascii="Times New Roman" w:hAnsi="Times New Roman" w:cs="Times New Roman"/>
          <w:b/>
          <w:color w:val="000000"/>
          <w:sz w:val="20"/>
          <w:szCs w:val="24"/>
        </w:rPr>
      </w:pPr>
      <w:r w:rsidRPr="003111AF">
        <w:rPr>
          <w:rFonts w:ascii="Times New Roman" w:hAnsi="Times New Roman" w:cs="Times New Roman"/>
          <w:b/>
          <w:color w:val="000000"/>
          <w:sz w:val="20"/>
          <w:szCs w:val="24"/>
        </w:rPr>
        <w:t>Extent of the Compliance of HEIs has helped indicate the Achievement of Quality Assurance in CALABARZON</w:t>
      </w:r>
    </w:p>
    <w:p w:rsidR="004B7059" w:rsidRDefault="004B7059" w:rsidP="00F374AF">
      <w:pPr>
        <w:spacing w:after="0" w:line="240" w:lineRule="auto"/>
        <w:ind w:left="-540" w:hanging="180"/>
        <w:jc w:val="both"/>
        <w:rPr>
          <w:rFonts w:ascii="Times New Roman" w:hAnsi="Times New Roman" w:cs="Times New Roman"/>
          <w:sz w:val="20"/>
          <w:szCs w:val="24"/>
        </w:rPr>
      </w:pPr>
    </w:p>
    <w:p w:rsidR="00F76CD7" w:rsidRPr="003111AF" w:rsidRDefault="00F76CD7" w:rsidP="00F9143A">
      <w:pPr>
        <w:autoSpaceDE w:val="0"/>
        <w:autoSpaceDN w:val="0"/>
        <w:adjustRightInd w:val="0"/>
        <w:jc w:val="center"/>
        <w:rPr>
          <w:rFonts w:ascii="Times New Roman" w:eastAsia="Calibri" w:hAnsi="Times New Roman" w:cs="Times New Roman"/>
          <w:color w:val="000000"/>
          <w:sz w:val="20"/>
          <w:szCs w:val="24"/>
        </w:rPr>
      </w:pPr>
      <w:r w:rsidRPr="003111AF">
        <w:rPr>
          <w:rFonts w:ascii="Times New Roman" w:eastAsia="Calibri" w:hAnsi="Times New Roman" w:cs="Times New Roman"/>
          <w:color w:val="000000"/>
          <w:sz w:val="20"/>
          <w:szCs w:val="24"/>
        </w:rPr>
        <w:t xml:space="preserve">Table </w:t>
      </w:r>
      <w:r w:rsidR="00F9143A" w:rsidRPr="003111AF">
        <w:rPr>
          <w:rFonts w:ascii="Times New Roman" w:hAnsi="Times New Roman" w:cs="Times New Roman"/>
          <w:color w:val="000000"/>
          <w:sz w:val="20"/>
          <w:szCs w:val="24"/>
        </w:rPr>
        <w:t>1</w:t>
      </w:r>
    </w:p>
    <w:p w:rsidR="00F76CD7" w:rsidRPr="003111AF" w:rsidRDefault="00F76CD7" w:rsidP="00F9143A">
      <w:pPr>
        <w:autoSpaceDE w:val="0"/>
        <w:autoSpaceDN w:val="0"/>
        <w:adjustRightInd w:val="0"/>
        <w:spacing w:after="0" w:line="240" w:lineRule="auto"/>
        <w:jc w:val="center"/>
        <w:rPr>
          <w:rFonts w:ascii="Times New Roman" w:eastAsia="Calibri" w:hAnsi="Times New Roman" w:cs="Times New Roman"/>
          <w:b/>
          <w:color w:val="000000"/>
          <w:sz w:val="20"/>
          <w:szCs w:val="24"/>
        </w:rPr>
      </w:pPr>
      <w:r w:rsidRPr="003111AF">
        <w:rPr>
          <w:rFonts w:ascii="Times New Roman" w:eastAsia="Calibri" w:hAnsi="Times New Roman" w:cs="Times New Roman"/>
          <w:b/>
          <w:color w:val="000000"/>
          <w:sz w:val="20"/>
          <w:szCs w:val="24"/>
        </w:rPr>
        <w:t>Computed Mean, Standard Deviation and Verbal Interpretation on the Extent of the Compliance of HEIs has helped indicate the Achievement of Quality Assurance in CALABARZON</w:t>
      </w:r>
    </w:p>
    <w:p w:rsidR="00F76CD7" w:rsidRDefault="00F76CD7" w:rsidP="00F76CD7">
      <w:pPr>
        <w:autoSpaceDE w:val="0"/>
        <w:autoSpaceDN w:val="0"/>
        <w:adjustRightInd w:val="0"/>
        <w:jc w:val="center"/>
        <w:rPr>
          <w:rFonts w:ascii="Calibri" w:eastAsia="Calibri" w:hAnsi="Calibri" w:cs="Times New Roman"/>
          <w:b/>
          <w:color w:val="000000"/>
          <w:sz w:val="24"/>
          <w:szCs w:val="24"/>
        </w:rPr>
      </w:pP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2"/>
        <w:gridCol w:w="633"/>
        <w:gridCol w:w="720"/>
        <w:gridCol w:w="630"/>
        <w:gridCol w:w="720"/>
        <w:gridCol w:w="630"/>
        <w:gridCol w:w="630"/>
        <w:gridCol w:w="720"/>
        <w:gridCol w:w="630"/>
        <w:gridCol w:w="720"/>
      </w:tblGrid>
      <w:tr w:rsidR="00F76CD7" w:rsidRPr="00967A4F" w:rsidTr="0049030E">
        <w:trPr>
          <w:cantSplit/>
          <w:jc w:val="center"/>
        </w:trPr>
        <w:tc>
          <w:tcPr>
            <w:tcW w:w="2112" w:type="dxa"/>
            <w:vMerge w:val="restart"/>
            <w:shd w:val="clear" w:color="auto" w:fill="FFFFFF"/>
            <w:vAlign w:val="center"/>
          </w:tcPr>
          <w:p w:rsidR="00F76CD7" w:rsidRDefault="00F76CD7" w:rsidP="0049030E">
            <w:pPr>
              <w:autoSpaceDE w:val="0"/>
              <w:autoSpaceDN w:val="0"/>
              <w:adjustRightInd w:val="0"/>
              <w:ind w:left="60" w:right="60"/>
              <w:jc w:val="center"/>
              <w:rPr>
                <w:rFonts w:ascii="Calibri" w:eastAsia="Calibri" w:hAnsi="Calibri" w:cs="Times New Roman"/>
                <w:b/>
                <w:color w:val="000000"/>
                <w:sz w:val="18"/>
                <w:szCs w:val="24"/>
              </w:rPr>
            </w:pPr>
          </w:p>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Achievement</w:t>
            </w:r>
          </w:p>
        </w:tc>
        <w:tc>
          <w:tcPr>
            <w:tcW w:w="1983" w:type="dxa"/>
            <w:gridSpan w:val="3"/>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SUC</w:t>
            </w:r>
            <w:r>
              <w:rPr>
                <w:rFonts w:ascii="Calibri" w:eastAsia="Calibri" w:hAnsi="Calibri" w:cs="Times New Roman"/>
                <w:b/>
                <w:color w:val="000000"/>
                <w:sz w:val="18"/>
                <w:szCs w:val="24"/>
              </w:rPr>
              <w:t>s</w:t>
            </w:r>
          </w:p>
        </w:tc>
        <w:tc>
          <w:tcPr>
            <w:tcW w:w="1980" w:type="dxa"/>
            <w:gridSpan w:val="3"/>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LUC</w:t>
            </w:r>
            <w:r>
              <w:rPr>
                <w:rFonts w:ascii="Calibri" w:eastAsia="Calibri" w:hAnsi="Calibri" w:cs="Times New Roman"/>
                <w:b/>
                <w:color w:val="000000"/>
                <w:sz w:val="18"/>
                <w:szCs w:val="24"/>
              </w:rPr>
              <w:t>s</w:t>
            </w:r>
          </w:p>
        </w:tc>
        <w:tc>
          <w:tcPr>
            <w:tcW w:w="2070" w:type="dxa"/>
            <w:gridSpan w:val="3"/>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PHEI</w:t>
            </w:r>
            <w:r>
              <w:rPr>
                <w:rFonts w:ascii="Calibri" w:eastAsia="Calibri" w:hAnsi="Calibri" w:cs="Times New Roman"/>
                <w:b/>
                <w:color w:val="000000"/>
                <w:sz w:val="18"/>
                <w:szCs w:val="24"/>
              </w:rPr>
              <w:t>s</w:t>
            </w:r>
          </w:p>
        </w:tc>
      </w:tr>
      <w:tr w:rsidR="00F76CD7" w:rsidRPr="00967A4F" w:rsidTr="0049030E">
        <w:trPr>
          <w:cantSplit/>
          <w:jc w:val="center"/>
        </w:trPr>
        <w:tc>
          <w:tcPr>
            <w:tcW w:w="2112" w:type="dxa"/>
            <w:vMerge/>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p>
        </w:tc>
        <w:tc>
          <w:tcPr>
            <w:tcW w:w="633"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Mean</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proofErr w:type="spellStart"/>
            <w:r w:rsidRPr="00927403">
              <w:rPr>
                <w:rFonts w:ascii="Calibri" w:eastAsia="Calibri" w:hAnsi="Calibri" w:cs="Times New Roman"/>
                <w:b/>
                <w:color w:val="000000"/>
                <w:sz w:val="18"/>
                <w:szCs w:val="24"/>
              </w:rPr>
              <w:t>Sd</w:t>
            </w:r>
            <w:proofErr w:type="spellEnd"/>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VI</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Mean</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proofErr w:type="spellStart"/>
            <w:r w:rsidRPr="00927403">
              <w:rPr>
                <w:rFonts w:ascii="Calibri" w:eastAsia="Calibri" w:hAnsi="Calibri" w:cs="Times New Roman"/>
                <w:b/>
                <w:color w:val="000000"/>
                <w:sz w:val="18"/>
                <w:szCs w:val="24"/>
              </w:rPr>
              <w:t>sd</w:t>
            </w:r>
            <w:proofErr w:type="spellEnd"/>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VI</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Mean</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proofErr w:type="spellStart"/>
            <w:r w:rsidRPr="00927403">
              <w:rPr>
                <w:rFonts w:ascii="Calibri" w:eastAsia="Calibri" w:hAnsi="Calibri" w:cs="Times New Roman"/>
                <w:b/>
                <w:color w:val="000000"/>
                <w:sz w:val="18"/>
                <w:szCs w:val="24"/>
              </w:rPr>
              <w:t>Sd</w:t>
            </w:r>
            <w:proofErr w:type="spellEnd"/>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b/>
                <w:color w:val="000000"/>
                <w:sz w:val="18"/>
                <w:szCs w:val="24"/>
              </w:rPr>
            </w:pPr>
            <w:r w:rsidRPr="00927403">
              <w:rPr>
                <w:rFonts w:ascii="Calibri" w:eastAsia="Calibri" w:hAnsi="Calibri" w:cs="Times New Roman"/>
                <w:b/>
                <w:color w:val="000000"/>
                <w:sz w:val="18"/>
                <w:szCs w:val="24"/>
              </w:rPr>
              <w:t>VI</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1.Improving subject/course offerings (content and sequencing)</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4.3438</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.51080</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4.5192</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.61006</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4.4583</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.60369</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2.Attaining desired qualification of faculty</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4.2656</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.67241</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4.5192</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.54198</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4.4167</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.59930</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3.Enchancing syllabi and instructional materials</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4.2812</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.65390</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4.4615</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.64051</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4.5556</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.60255</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4.Employing/adopting more effective and diverse teaching strategies</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4.1719</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.72495</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4.3654</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.59504</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4.4306</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.64625</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5.Making fair student performance evaluation</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4.2031</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.71669</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4.4038</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.63430</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4.5417</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.57989</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6.Providing adequate laboratory facilities</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3.9844</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.95106</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4.0962</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.66449</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4.3611</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.67773</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7.Estabishing linkages with the community</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4.2187</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.74469</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4.3077</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.61160</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4.4306</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.62408</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8.Procuring library resources</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4.1875</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.68718</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4.3077</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.70122</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4.5278</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.62736</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9.Providing health and safety measures</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4.0000</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.71270</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4.2885</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.72319</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4.5556</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.57870</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10.Improving guidance services</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4.0469</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.74386</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4.1731</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.78519</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4.5556</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.57870</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11.Appointing qualified non-teaching personnel</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3.9844</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.86359</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4.2500</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.78902</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4.4861</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.60498</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12.Offering programs that match need of industry</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4.3906</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.70412</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4.3654</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.65765</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4.5139</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.55647</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13.Receiving awards for the institution</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4.1094</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.79915</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4.0577</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.84976</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4.3889</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.66196</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lastRenderedPageBreak/>
              <w:t>14.Providing incentives for teaching and non-teaching personnel</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4.2698</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.78712</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3.9808</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.87426</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4.2222</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.75475</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15.Enhancing research capabilities</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4.2656</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.67241</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3.9423</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.84976</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4.2222</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.71645</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16.Constructing effective faculty assessment tool</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4.1719</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.67975</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4.0577</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.72527</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4.2500</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.80053</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r w:rsidR="00F76CD7" w:rsidRPr="00967A4F" w:rsidTr="0049030E">
        <w:trPr>
          <w:cantSplit/>
          <w:jc w:val="center"/>
        </w:trPr>
        <w:tc>
          <w:tcPr>
            <w:tcW w:w="2112" w:type="dxa"/>
            <w:shd w:val="clear" w:color="auto" w:fill="FFFFFF"/>
            <w:vAlign w:val="center"/>
          </w:tcPr>
          <w:p w:rsidR="00F76CD7" w:rsidRPr="00927403" w:rsidRDefault="00F76CD7" w:rsidP="0049030E">
            <w:pPr>
              <w:autoSpaceDE w:val="0"/>
              <w:autoSpaceDN w:val="0"/>
              <w:adjustRightInd w:val="0"/>
              <w:ind w:left="60" w:right="60"/>
              <w:rPr>
                <w:rFonts w:ascii="Calibri" w:eastAsia="Calibri" w:hAnsi="Calibri" w:cs="Times New Roman"/>
                <w:color w:val="000000"/>
                <w:sz w:val="18"/>
                <w:szCs w:val="24"/>
              </w:rPr>
            </w:pPr>
            <w:r w:rsidRPr="00927403">
              <w:rPr>
                <w:rFonts w:ascii="Calibri" w:eastAsia="Calibri" w:hAnsi="Calibri" w:cs="Times New Roman"/>
                <w:color w:val="000000"/>
                <w:sz w:val="18"/>
                <w:szCs w:val="24"/>
              </w:rPr>
              <w:t>Overall</w:t>
            </w:r>
          </w:p>
        </w:tc>
        <w:tc>
          <w:tcPr>
            <w:tcW w:w="633"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4.1739</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.53026</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4.2473</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.51307</w:t>
            </w:r>
          </w:p>
        </w:tc>
        <w:tc>
          <w:tcPr>
            <w:tcW w:w="63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c>
          <w:tcPr>
            <w:tcW w:w="72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4.4300</w:t>
            </w:r>
          </w:p>
        </w:tc>
        <w:tc>
          <w:tcPr>
            <w:tcW w:w="630" w:type="dxa"/>
            <w:shd w:val="clear" w:color="auto" w:fill="FFFFFF"/>
            <w:vAlign w:val="center"/>
          </w:tcPr>
          <w:p w:rsidR="00F76CD7" w:rsidRPr="00927403" w:rsidRDefault="00F76CD7" w:rsidP="0049030E">
            <w:pPr>
              <w:autoSpaceDE w:val="0"/>
              <w:autoSpaceDN w:val="0"/>
              <w:adjustRightInd w:val="0"/>
              <w:ind w:left="60" w:right="60"/>
              <w:jc w:val="right"/>
              <w:rPr>
                <w:rFonts w:ascii="Calibri" w:eastAsia="Calibri" w:hAnsi="Calibri" w:cs="Times New Roman"/>
                <w:color w:val="000000"/>
                <w:sz w:val="18"/>
                <w:szCs w:val="24"/>
              </w:rPr>
            </w:pPr>
            <w:r w:rsidRPr="00927403">
              <w:rPr>
                <w:rFonts w:ascii="Calibri" w:eastAsia="Calibri" w:hAnsi="Calibri" w:cs="Times New Roman"/>
                <w:color w:val="000000"/>
                <w:sz w:val="18"/>
                <w:szCs w:val="24"/>
              </w:rPr>
              <w:t>.45759</w:t>
            </w:r>
          </w:p>
        </w:tc>
        <w:tc>
          <w:tcPr>
            <w:tcW w:w="720" w:type="dxa"/>
            <w:shd w:val="clear" w:color="auto" w:fill="FFFFFF"/>
            <w:vAlign w:val="center"/>
          </w:tcPr>
          <w:p w:rsidR="00F76CD7" w:rsidRPr="00927403" w:rsidRDefault="00F76CD7" w:rsidP="0049030E">
            <w:pPr>
              <w:autoSpaceDE w:val="0"/>
              <w:autoSpaceDN w:val="0"/>
              <w:adjustRightInd w:val="0"/>
              <w:ind w:left="60" w:right="60"/>
              <w:jc w:val="center"/>
              <w:rPr>
                <w:rFonts w:ascii="Calibri" w:eastAsia="Calibri" w:hAnsi="Calibri" w:cs="Times New Roman"/>
                <w:color w:val="000000"/>
                <w:sz w:val="18"/>
                <w:szCs w:val="24"/>
              </w:rPr>
            </w:pPr>
            <w:r w:rsidRPr="00927403">
              <w:rPr>
                <w:rFonts w:ascii="Calibri" w:eastAsia="Calibri" w:hAnsi="Calibri" w:cs="Times New Roman"/>
                <w:color w:val="000000"/>
                <w:sz w:val="18"/>
                <w:szCs w:val="24"/>
              </w:rPr>
              <w:t>VHE</w:t>
            </w:r>
          </w:p>
        </w:tc>
      </w:tr>
    </w:tbl>
    <w:p w:rsidR="00F76CD7" w:rsidRPr="00F9143A" w:rsidRDefault="00F76CD7" w:rsidP="00F76CD7">
      <w:pPr>
        <w:autoSpaceDE w:val="0"/>
        <w:autoSpaceDN w:val="0"/>
        <w:adjustRightInd w:val="0"/>
        <w:rPr>
          <w:rFonts w:ascii="Times New Roman" w:eastAsia="Calibri" w:hAnsi="Times New Roman" w:cs="Times New Roman"/>
          <w:sz w:val="20"/>
        </w:rPr>
      </w:pPr>
      <w:r w:rsidRPr="00F9143A">
        <w:rPr>
          <w:rFonts w:ascii="Times New Roman" w:eastAsia="Calibri" w:hAnsi="Times New Roman" w:cs="Times New Roman"/>
          <w:sz w:val="20"/>
        </w:rPr>
        <w:t>Legend: VHE-V</w:t>
      </w:r>
      <w:r w:rsidR="00F9143A" w:rsidRPr="00F9143A">
        <w:rPr>
          <w:rFonts w:ascii="Times New Roman" w:hAnsi="Times New Roman" w:cs="Times New Roman"/>
          <w:sz w:val="20"/>
        </w:rPr>
        <w:t>ery High Extent, HE-High Extent</w:t>
      </w:r>
    </w:p>
    <w:p w:rsidR="008B61D1" w:rsidRDefault="00F76CD7" w:rsidP="003111AF">
      <w:pPr>
        <w:autoSpaceDE w:val="0"/>
        <w:autoSpaceDN w:val="0"/>
        <w:adjustRightInd w:val="0"/>
        <w:spacing w:after="0" w:line="360" w:lineRule="auto"/>
        <w:ind w:firstLine="720"/>
        <w:jc w:val="both"/>
        <w:rPr>
          <w:rFonts w:ascii="Times New Roman" w:eastAsia="Calibri" w:hAnsi="Times New Roman" w:cs="Times New Roman"/>
          <w:color w:val="000000"/>
          <w:sz w:val="20"/>
          <w:szCs w:val="24"/>
        </w:rPr>
      </w:pPr>
      <w:r w:rsidRPr="00F9143A">
        <w:rPr>
          <w:rFonts w:ascii="Times New Roman" w:eastAsia="Calibri" w:hAnsi="Times New Roman" w:cs="Times New Roman"/>
          <w:color w:val="000000"/>
          <w:sz w:val="20"/>
          <w:szCs w:val="24"/>
        </w:rPr>
        <w:t xml:space="preserve">As presented in Table </w:t>
      </w:r>
      <w:r w:rsidR="00F9143A">
        <w:rPr>
          <w:rFonts w:ascii="Times New Roman" w:hAnsi="Times New Roman" w:cs="Times New Roman"/>
          <w:color w:val="000000"/>
          <w:sz w:val="20"/>
          <w:szCs w:val="24"/>
        </w:rPr>
        <w:t>1</w:t>
      </w:r>
      <w:r w:rsidRPr="00F9143A">
        <w:rPr>
          <w:rFonts w:ascii="Times New Roman" w:eastAsia="Calibri" w:hAnsi="Times New Roman" w:cs="Times New Roman"/>
          <w:color w:val="000000"/>
          <w:sz w:val="20"/>
          <w:szCs w:val="24"/>
        </w:rPr>
        <w:t>, the extent of the compliance has helped indicate the achievement of quality assurance of State Universities and Colleges (SUCs) with respect to improving subject/course offerings (content and sequencing), has the highest mean rating of 4.3438.  The highest mean rating to achieve the quality assurance  and achievement with respect to Attaining desired qualification of faculty, Enhancing syllabi and instructional materials, establishing linkages with the community and providing incentives for teaching and non-teaching personnel have verbal interpretations of “Very High Extent”.  The extent of help to providing adequate laboratory facilities and appointing qualified non-teaching personnel has the lowest mean rating of 3.9844.  The lowest mean rating of help to achieve quality assurance and the rating of other achievement have verbal interpretation of “High Extent</w:t>
      </w:r>
    </w:p>
    <w:p w:rsidR="00F76CD7" w:rsidRPr="00F9143A" w:rsidRDefault="00F76CD7" w:rsidP="003111AF">
      <w:pPr>
        <w:autoSpaceDE w:val="0"/>
        <w:autoSpaceDN w:val="0"/>
        <w:adjustRightInd w:val="0"/>
        <w:spacing w:after="0" w:line="360" w:lineRule="auto"/>
        <w:ind w:firstLine="720"/>
        <w:jc w:val="both"/>
        <w:rPr>
          <w:rFonts w:ascii="Times New Roman" w:eastAsia="Calibri" w:hAnsi="Times New Roman" w:cs="Times New Roman"/>
          <w:color w:val="000000"/>
          <w:sz w:val="20"/>
          <w:szCs w:val="24"/>
        </w:rPr>
      </w:pPr>
      <w:r w:rsidRPr="00F9143A">
        <w:rPr>
          <w:rFonts w:ascii="Times New Roman" w:eastAsia="Calibri" w:hAnsi="Times New Roman" w:cs="Times New Roman"/>
          <w:color w:val="000000"/>
          <w:sz w:val="20"/>
          <w:szCs w:val="24"/>
        </w:rPr>
        <w:t xml:space="preserve">”. </w:t>
      </w:r>
    </w:p>
    <w:p w:rsidR="00F76CD7" w:rsidRDefault="00F76CD7" w:rsidP="003111AF">
      <w:pPr>
        <w:autoSpaceDE w:val="0"/>
        <w:autoSpaceDN w:val="0"/>
        <w:adjustRightInd w:val="0"/>
        <w:spacing w:after="0" w:line="360" w:lineRule="auto"/>
        <w:ind w:firstLine="720"/>
        <w:jc w:val="both"/>
        <w:rPr>
          <w:rFonts w:ascii="Times New Roman" w:eastAsia="Calibri" w:hAnsi="Times New Roman" w:cs="Times New Roman"/>
          <w:color w:val="000000"/>
          <w:sz w:val="20"/>
          <w:szCs w:val="24"/>
        </w:rPr>
      </w:pPr>
      <w:r w:rsidRPr="00F9143A">
        <w:rPr>
          <w:rFonts w:ascii="Times New Roman" w:eastAsia="Calibri" w:hAnsi="Times New Roman" w:cs="Times New Roman"/>
          <w:color w:val="000000"/>
          <w:sz w:val="20"/>
          <w:szCs w:val="24"/>
        </w:rPr>
        <w:t>The extent of the compliance has helped indicate the achievement of quality assurance of Local Universities and Colleges (LUCs) with respect to improving subject/course offerings (content and sequencing) and attaining desired qualification of faculty have the highest mean rating of 4.5192.  The component with the highest mean rating and the rating of  other components such as enhancing syllabi and instructional materials,  employing/adopting more effective and diverse teaching strategies, making fair student performance evaluation, procuring library resources, Providing health and safety measures, appointing qualified non-teaching personnel, and offering programs that match need of industry have a verbal interpretation of “High Extent”.  The component enhancing research capabilities has the lowest mean rating of 3.9423.  The component with the lowest mean rating and the ratings of other components such as providing adequate laboratory facilities, receiving awards for the institution, providing incentives for teaching and non-teaching personnel, enhancing research capabilities and constructing effective faculty assessment tool have verbal interpretation of “High Extent”.</w:t>
      </w:r>
    </w:p>
    <w:p w:rsidR="008B61D1" w:rsidRPr="00F9143A" w:rsidRDefault="008B61D1" w:rsidP="003111AF">
      <w:pPr>
        <w:autoSpaceDE w:val="0"/>
        <w:autoSpaceDN w:val="0"/>
        <w:adjustRightInd w:val="0"/>
        <w:spacing w:after="0" w:line="360" w:lineRule="auto"/>
        <w:ind w:firstLine="720"/>
        <w:jc w:val="both"/>
        <w:rPr>
          <w:rFonts w:ascii="Times New Roman" w:eastAsia="Calibri" w:hAnsi="Times New Roman" w:cs="Times New Roman"/>
          <w:color w:val="000000"/>
          <w:sz w:val="20"/>
          <w:szCs w:val="24"/>
        </w:rPr>
      </w:pPr>
    </w:p>
    <w:p w:rsidR="00676591" w:rsidRPr="003111AF" w:rsidRDefault="00F76CD7" w:rsidP="003111AF">
      <w:pPr>
        <w:autoSpaceDE w:val="0"/>
        <w:autoSpaceDN w:val="0"/>
        <w:adjustRightInd w:val="0"/>
        <w:spacing w:after="0" w:line="360" w:lineRule="auto"/>
        <w:ind w:firstLine="720"/>
        <w:jc w:val="both"/>
        <w:rPr>
          <w:rFonts w:ascii="Times New Roman" w:hAnsi="Times New Roman" w:cs="Times New Roman"/>
          <w:color w:val="000000"/>
          <w:sz w:val="20"/>
          <w:szCs w:val="24"/>
        </w:rPr>
      </w:pPr>
      <w:r w:rsidRPr="00F9143A">
        <w:rPr>
          <w:rFonts w:ascii="Times New Roman" w:eastAsia="Calibri" w:hAnsi="Times New Roman" w:cs="Times New Roman"/>
          <w:color w:val="000000"/>
          <w:sz w:val="20"/>
          <w:szCs w:val="24"/>
        </w:rPr>
        <w:t xml:space="preserve">The extent of the compliance has helped indicate the achievement of quality assurance of Private Higher Education Institutions (PHEIs) with respect to providing health and safety measures, and improving guidance services have the highest mean rating of 4.5556.   The component with the lowest mean rating to achieve the quality assurance with respect to providing incentives for teaching and non-teaching personnel, and enhancing research capabilities have the lowest mean rating of 4. 2222.  The </w:t>
      </w:r>
      <w:r w:rsidRPr="00F9143A">
        <w:rPr>
          <w:rFonts w:ascii="Times New Roman" w:eastAsia="Calibri" w:hAnsi="Times New Roman" w:cs="Times New Roman"/>
          <w:color w:val="000000"/>
          <w:sz w:val="20"/>
          <w:szCs w:val="24"/>
        </w:rPr>
        <w:lastRenderedPageBreak/>
        <w:t xml:space="preserve">highest and lowest mean rating together with other mean rating has a verbal interpretation of “High Extent”. </w:t>
      </w:r>
    </w:p>
    <w:p w:rsidR="00676591" w:rsidRPr="00F9143A" w:rsidRDefault="00676591" w:rsidP="00D26E3C">
      <w:pPr>
        <w:autoSpaceDE w:val="0"/>
        <w:autoSpaceDN w:val="0"/>
        <w:adjustRightInd w:val="0"/>
        <w:spacing w:after="0" w:line="240" w:lineRule="auto"/>
        <w:jc w:val="both"/>
        <w:rPr>
          <w:rFonts w:ascii="Times New Roman" w:eastAsia="Calibri" w:hAnsi="Times New Roman" w:cs="Times New Roman"/>
          <w:color w:val="000000"/>
          <w:sz w:val="20"/>
          <w:szCs w:val="24"/>
        </w:rPr>
      </w:pPr>
    </w:p>
    <w:p w:rsidR="00BF1A9E" w:rsidRPr="003111AF" w:rsidRDefault="003111AF" w:rsidP="00BF1A9E">
      <w:pPr>
        <w:autoSpaceDE w:val="0"/>
        <w:autoSpaceDN w:val="0"/>
        <w:adjustRightInd w:val="0"/>
        <w:jc w:val="both"/>
        <w:rPr>
          <w:rFonts w:ascii="Times New Roman" w:eastAsia="Calibri" w:hAnsi="Times New Roman" w:cs="Times New Roman"/>
          <w:b/>
          <w:color w:val="000000"/>
          <w:sz w:val="20"/>
          <w:szCs w:val="20"/>
        </w:rPr>
      </w:pPr>
      <w:r w:rsidRPr="003111AF">
        <w:rPr>
          <w:rFonts w:ascii="Times New Roman" w:eastAsia="Calibri" w:hAnsi="Times New Roman" w:cs="Times New Roman"/>
          <w:b/>
          <w:color w:val="000000"/>
          <w:sz w:val="20"/>
          <w:szCs w:val="20"/>
        </w:rPr>
        <w:t>3.</w:t>
      </w:r>
      <w:r w:rsidR="00900611" w:rsidRPr="003111AF">
        <w:rPr>
          <w:rFonts w:ascii="Times New Roman" w:eastAsia="Calibri" w:hAnsi="Times New Roman" w:cs="Times New Roman"/>
          <w:b/>
          <w:color w:val="000000"/>
          <w:sz w:val="20"/>
          <w:szCs w:val="20"/>
        </w:rPr>
        <w:t>2</w:t>
      </w:r>
      <w:r w:rsidR="00BF1A9E" w:rsidRPr="003111AF">
        <w:rPr>
          <w:rFonts w:ascii="Times New Roman" w:eastAsia="Calibri" w:hAnsi="Times New Roman" w:cs="Times New Roman"/>
          <w:b/>
          <w:color w:val="000000"/>
          <w:sz w:val="20"/>
          <w:szCs w:val="20"/>
        </w:rPr>
        <w:t xml:space="preserve">. Significant Relationship </w:t>
      </w:r>
      <w:proofErr w:type="gramStart"/>
      <w:r w:rsidR="00BF1A9E" w:rsidRPr="003111AF">
        <w:rPr>
          <w:rFonts w:ascii="Times New Roman" w:eastAsia="Calibri" w:hAnsi="Times New Roman" w:cs="Times New Roman"/>
          <w:b/>
          <w:color w:val="000000"/>
          <w:sz w:val="20"/>
          <w:szCs w:val="20"/>
        </w:rPr>
        <w:t>Between</w:t>
      </w:r>
      <w:proofErr w:type="gramEnd"/>
      <w:r w:rsidR="00BF1A9E" w:rsidRPr="003111AF">
        <w:rPr>
          <w:rFonts w:ascii="Times New Roman" w:eastAsia="Calibri" w:hAnsi="Times New Roman" w:cs="Times New Roman"/>
          <w:b/>
          <w:color w:val="000000"/>
          <w:sz w:val="20"/>
          <w:szCs w:val="20"/>
        </w:rPr>
        <w:t xml:space="preserve"> the Areas of Compliance Indicators of Quality Assurance</w:t>
      </w:r>
    </w:p>
    <w:p w:rsidR="00BF1A9E" w:rsidRPr="003111AF" w:rsidRDefault="00BF1A9E" w:rsidP="00BF1A9E">
      <w:pPr>
        <w:autoSpaceDE w:val="0"/>
        <w:autoSpaceDN w:val="0"/>
        <w:adjustRightInd w:val="0"/>
        <w:spacing w:after="0" w:line="240" w:lineRule="auto"/>
        <w:jc w:val="center"/>
        <w:rPr>
          <w:rFonts w:ascii="Times New Roman" w:eastAsia="Calibri" w:hAnsi="Times New Roman" w:cs="Times New Roman"/>
          <w:color w:val="000000"/>
          <w:sz w:val="20"/>
          <w:szCs w:val="24"/>
        </w:rPr>
      </w:pPr>
      <w:r w:rsidRPr="003111AF">
        <w:rPr>
          <w:rFonts w:ascii="Times New Roman" w:eastAsia="Calibri" w:hAnsi="Times New Roman" w:cs="Times New Roman"/>
          <w:color w:val="000000"/>
          <w:sz w:val="20"/>
          <w:szCs w:val="24"/>
        </w:rPr>
        <w:t xml:space="preserve">Table </w:t>
      </w:r>
      <w:r w:rsidR="00900611" w:rsidRPr="003111AF">
        <w:rPr>
          <w:rFonts w:ascii="Times New Roman" w:eastAsia="Calibri" w:hAnsi="Times New Roman" w:cs="Times New Roman"/>
          <w:color w:val="000000"/>
          <w:sz w:val="20"/>
          <w:szCs w:val="24"/>
        </w:rPr>
        <w:t>2</w:t>
      </w:r>
    </w:p>
    <w:p w:rsidR="00BF1A9E" w:rsidRPr="003111AF" w:rsidRDefault="00BF1A9E" w:rsidP="00BF1A9E">
      <w:pPr>
        <w:autoSpaceDE w:val="0"/>
        <w:autoSpaceDN w:val="0"/>
        <w:adjustRightInd w:val="0"/>
        <w:spacing w:after="0" w:line="240" w:lineRule="auto"/>
        <w:jc w:val="center"/>
        <w:rPr>
          <w:rFonts w:ascii="Times New Roman" w:eastAsia="Calibri" w:hAnsi="Times New Roman" w:cs="Times New Roman"/>
          <w:color w:val="000000"/>
          <w:sz w:val="20"/>
          <w:szCs w:val="24"/>
        </w:rPr>
      </w:pPr>
    </w:p>
    <w:p w:rsidR="00BF1A9E" w:rsidRPr="003111AF" w:rsidRDefault="00BF1A9E" w:rsidP="00BF1A9E">
      <w:pPr>
        <w:autoSpaceDE w:val="0"/>
        <w:autoSpaceDN w:val="0"/>
        <w:adjustRightInd w:val="0"/>
        <w:spacing w:after="0" w:line="240" w:lineRule="auto"/>
        <w:jc w:val="center"/>
        <w:rPr>
          <w:rFonts w:ascii="Times New Roman" w:eastAsia="Calibri" w:hAnsi="Times New Roman" w:cs="Times New Roman"/>
          <w:b/>
          <w:color w:val="000000"/>
          <w:sz w:val="20"/>
          <w:szCs w:val="24"/>
        </w:rPr>
      </w:pPr>
      <w:r w:rsidRPr="003111AF">
        <w:rPr>
          <w:rFonts w:ascii="Times New Roman" w:eastAsia="Calibri" w:hAnsi="Times New Roman" w:cs="Times New Roman"/>
          <w:b/>
          <w:color w:val="000000"/>
          <w:sz w:val="20"/>
          <w:szCs w:val="24"/>
        </w:rPr>
        <w:t xml:space="preserve">Computed Pearson’s r and Probability Values on the Significant Relationship </w:t>
      </w:r>
      <w:proofErr w:type="gramStart"/>
      <w:r w:rsidRPr="003111AF">
        <w:rPr>
          <w:rFonts w:ascii="Times New Roman" w:eastAsia="Calibri" w:hAnsi="Times New Roman" w:cs="Times New Roman"/>
          <w:b/>
          <w:color w:val="000000"/>
          <w:sz w:val="20"/>
          <w:szCs w:val="24"/>
        </w:rPr>
        <w:t>Between</w:t>
      </w:r>
      <w:proofErr w:type="gramEnd"/>
      <w:r w:rsidRPr="003111AF">
        <w:rPr>
          <w:rFonts w:ascii="Times New Roman" w:eastAsia="Calibri" w:hAnsi="Times New Roman" w:cs="Times New Roman"/>
          <w:b/>
          <w:color w:val="000000"/>
          <w:sz w:val="20"/>
          <w:szCs w:val="24"/>
        </w:rPr>
        <w:t xml:space="preserve"> the Areas of Compliance Indicators of Quality Assurance and Access</w:t>
      </w:r>
    </w:p>
    <w:p w:rsidR="00BF1A9E" w:rsidRPr="003111AF" w:rsidRDefault="00BF1A9E" w:rsidP="00BF1A9E">
      <w:pPr>
        <w:autoSpaceDE w:val="0"/>
        <w:autoSpaceDN w:val="0"/>
        <w:adjustRightInd w:val="0"/>
        <w:jc w:val="center"/>
        <w:rPr>
          <w:rFonts w:ascii="Calibri" w:eastAsia="Calibri" w:hAnsi="Calibri" w:cs="Times New Roman"/>
          <w:szCs w:val="24"/>
        </w:rPr>
      </w:pPr>
    </w:p>
    <w:tbl>
      <w:tblPr>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92"/>
        <w:gridCol w:w="1345"/>
        <w:gridCol w:w="807"/>
        <w:gridCol w:w="1345"/>
        <w:gridCol w:w="718"/>
        <w:gridCol w:w="1345"/>
        <w:gridCol w:w="580"/>
      </w:tblGrid>
      <w:tr w:rsidR="00BF1A9E" w:rsidRPr="00967A4F" w:rsidTr="0049030E">
        <w:trPr>
          <w:cantSplit/>
          <w:jc w:val="center"/>
        </w:trPr>
        <w:tc>
          <w:tcPr>
            <w:tcW w:w="2198" w:type="dxa"/>
            <w:vMerge w:val="restart"/>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 xml:space="preserve">Level of Compliance </w:t>
            </w:r>
          </w:p>
        </w:tc>
        <w:tc>
          <w:tcPr>
            <w:tcW w:w="6134" w:type="dxa"/>
            <w:gridSpan w:val="6"/>
            <w:shd w:val="clear" w:color="auto" w:fill="FFFFFF"/>
            <w:vAlign w:val="center"/>
          </w:tcPr>
          <w:p w:rsidR="00BF1A9E" w:rsidRPr="00D26E3C" w:rsidRDefault="00BF1A9E" w:rsidP="00BF1A9E">
            <w:pPr>
              <w:pStyle w:val="ListParagraph"/>
              <w:numPr>
                <w:ilvl w:val="0"/>
                <w:numId w:val="2"/>
              </w:numPr>
              <w:autoSpaceDE w:val="0"/>
              <w:autoSpaceDN w:val="0"/>
              <w:adjustRightInd w:val="0"/>
              <w:spacing w:after="0" w:line="240" w:lineRule="auto"/>
              <w:ind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Access</w:t>
            </w:r>
          </w:p>
        </w:tc>
      </w:tr>
      <w:tr w:rsidR="00BF1A9E" w:rsidRPr="00967A4F" w:rsidTr="0049030E">
        <w:trPr>
          <w:cantSplit/>
          <w:jc w:val="center"/>
        </w:trPr>
        <w:tc>
          <w:tcPr>
            <w:tcW w:w="2198" w:type="dxa"/>
            <w:vMerge/>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0"/>
              </w:rPr>
            </w:pPr>
          </w:p>
        </w:tc>
        <w:tc>
          <w:tcPr>
            <w:tcW w:w="2160" w:type="dxa"/>
            <w:gridSpan w:val="2"/>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SUCs</w:t>
            </w:r>
          </w:p>
        </w:tc>
        <w:tc>
          <w:tcPr>
            <w:tcW w:w="2070" w:type="dxa"/>
            <w:gridSpan w:val="2"/>
            <w:shd w:val="clear" w:color="auto" w:fill="FFFFFF"/>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LUCs</w:t>
            </w:r>
          </w:p>
        </w:tc>
        <w:tc>
          <w:tcPr>
            <w:tcW w:w="1904" w:type="dxa"/>
            <w:gridSpan w:val="2"/>
            <w:shd w:val="clear" w:color="auto" w:fill="FFFFFF"/>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PHEIs</w:t>
            </w:r>
          </w:p>
        </w:tc>
      </w:tr>
      <w:tr w:rsidR="00BF1A9E" w:rsidRPr="00967A4F" w:rsidTr="0049030E">
        <w:trPr>
          <w:cantSplit/>
          <w:jc w:val="center"/>
        </w:trPr>
        <w:tc>
          <w:tcPr>
            <w:tcW w:w="2198" w:type="dxa"/>
            <w:vMerge/>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0"/>
              </w:rPr>
            </w:pP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Pearson’s r</w:t>
            </w:r>
          </w:p>
        </w:tc>
        <w:tc>
          <w:tcPr>
            <w:tcW w:w="81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Sig.</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Pearson’s r</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Sig.</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Pearson’s r</w:t>
            </w:r>
          </w:p>
        </w:tc>
        <w:tc>
          <w:tcPr>
            <w:tcW w:w="55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Sig.</w:t>
            </w:r>
          </w:p>
        </w:tc>
      </w:tr>
      <w:tr w:rsidR="00BF1A9E" w:rsidRPr="00967A4F" w:rsidTr="0049030E">
        <w:trPr>
          <w:cantSplit/>
          <w:jc w:val="center"/>
        </w:trPr>
        <w:tc>
          <w:tcPr>
            <w:tcW w:w="219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A. Governance &amp; Management</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.219</w:t>
            </w:r>
          </w:p>
        </w:tc>
        <w:tc>
          <w:tcPr>
            <w:tcW w:w="81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.082</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.519</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.417</w:t>
            </w:r>
          </w:p>
        </w:tc>
        <w:tc>
          <w:tcPr>
            <w:tcW w:w="55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9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B. Quality of Teaching and Research Faculty</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.151</w:t>
            </w:r>
          </w:p>
        </w:tc>
        <w:tc>
          <w:tcPr>
            <w:tcW w:w="81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.234</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.577</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.544</w:t>
            </w:r>
          </w:p>
        </w:tc>
        <w:tc>
          <w:tcPr>
            <w:tcW w:w="55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9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C. Curriculum</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.160</w:t>
            </w:r>
          </w:p>
        </w:tc>
        <w:tc>
          <w:tcPr>
            <w:tcW w:w="81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.208</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.509</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.485</w:t>
            </w:r>
          </w:p>
        </w:tc>
        <w:tc>
          <w:tcPr>
            <w:tcW w:w="55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9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D. Student Services</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.321</w:t>
            </w:r>
          </w:p>
        </w:tc>
        <w:tc>
          <w:tcPr>
            <w:tcW w:w="81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.010*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.554</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.427</w:t>
            </w:r>
          </w:p>
        </w:tc>
        <w:tc>
          <w:tcPr>
            <w:tcW w:w="55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9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E. Community Extension/Outreach</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.246</w:t>
            </w:r>
          </w:p>
        </w:tc>
        <w:tc>
          <w:tcPr>
            <w:tcW w:w="81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.050*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.588</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.449</w:t>
            </w:r>
          </w:p>
        </w:tc>
        <w:tc>
          <w:tcPr>
            <w:tcW w:w="55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9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F. Physical Facilities</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.399</w:t>
            </w:r>
          </w:p>
        </w:tc>
        <w:tc>
          <w:tcPr>
            <w:tcW w:w="81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.001*</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.609</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.500</w:t>
            </w:r>
          </w:p>
        </w:tc>
        <w:tc>
          <w:tcPr>
            <w:tcW w:w="55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bl>
    <w:p w:rsidR="00BF1A9E" w:rsidRDefault="00BF1A9E" w:rsidP="00BF1A9E">
      <w:pPr>
        <w:pStyle w:val="ListParagraph"/>
        <w:autoSpaceDE w:val="0"/>
        <w:autoSpaceDN w:val="0"/>
        <w:adjustRightInd w:val="0"/>
        <w:rPr>
          <w:rFonts w:ascii="Calibri" w:eastAsia="Calibri" w:hAnsi="Calibri" w:cs="Times New Roman"/>
          <w:sz w:val="24"/>
          <w:szCs w:val="24"/>
        </w:rPr>
      </w:pPr>
      <w:r>
        <w:rPr>
          <w:rFonts w:ascii="Calibri" w:eastAsia="Calibri" w:hAnsi="Calibri" w:cs="Times New Roman"/>
          <w:sz w:val="24"/>
          <w:szCs w:val="24"/>
        </w:rPr>
        <w:t>*</w:t>
      </w:r>
      <w:r w:rsidRPr="00D26E3C">
        <w:rPr>
          <w:rFonts w:ascii="Times New Roman" w:eastAsia="Calibri" w:hAnsi="Times New Roman" w:cs="Times New Roman"/>
          <w:sz w:val="20"/>
          <w:szCs w:val="24"/>
        </w:rPr>
        <w:t>Significant</w:t>
      </w:r>
    </w:p>
    <w:p w:rsidR="00BF1A9E" w:rsidRDefault="00BF1A9E" w:rsidP="00BF1A9E">
      <w:pPr>
        <w:pStyle w:val="ListParagraph"/>
        <w:autoSpaceDE w:val="0"/>
        <w:autoSpaceDN w:val="0"/>
        <w:adjustRightInd w:val="0"/>
        <w:rPr>
          <w:rFonts w:ascii="Calibri" w:eastAsia="Calibri" w:hAnsi="Calibri" w:cs="Times New Roman"/>
          <w:sz w:val="24"/>
          <w:szCs w:val="24"/>
        </w:rPr>
      </w:pPr>
    </w:p>
    <w:p w:rsidR="008B61D1" w:rsidRPr="003111AF"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3111AF">
        <w:rPr>
          <w:rFonts w:ascii="Times New Roman" w:eastAsia="Calibri" w:hAnsi="Times New Roman" w:cs="Times New Roman"/>
          <w:sz w:val="20"/>
          <w:szCs w:val="24"/>
        </w:rPr>
        <w:t xml:space="preserve">As presented in Table </w:t>
      </w:r>
      <w:r w:rsidR="00900611" w:rsidRPr="003111AF">
        <w:rPr>
          <w:rFonts w:ascii="Times New Roman" w:eastAsia="Calibri" w:hAnsi="Times New Roman" w:cs="Times New Roman"/>
          <w:sz w:val="20"/>
          <w:szCs w:val="24"/>
        </w:rPr>
        <w:t>2</w:t>
      </w:r>
      <w:r w:rsidRPr="003111AF">
        <w:rPr>
          <w:rFonts w:ascii="Times New Roman" w:eastAsia="Calibri" w:hAnsi="Times New Roman" w:cs="Times New Roman"/>
          <w:sz w:val="20"/>
          <w:szCs w:val="24"/>
        </w:rPr>
        <w:t>, the computed P-values between the significant relationship between the level of compliance of quality with respect to student services, community extension/outreach and physical facilities, and access of the State Universities and Colleges are .010, .050, and .001 respectively, which are lower than 0.05 level of significance.  This means that there is a significant relationship between the compliance with respect to student services, community extension/outreach and physical facilities; and access of the State Universities and Colleges. On the computed values of the significant relationship between the level of compliance of State Universities and Colleges with respect to governance and management, teaching and research faculty, and curriculum are .082, .234, and 0.208, respectively.  The results indicated that there is no significant relationship between the compliance of quality with respect to governance and management, quality of teaching and research faculty and curriculum and the access of State Universities and Colleges.</w:t>
      </w:r>
    </w:p>
    <w:p w:rsidR="00BF1A9E" w:rsidRPr="003111AF"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3111AF">
        <w:rPr>
          <w:rFonts w:ascii="Times New Roman" w:eastAsia="Calibri" w:hAnsi="Times New Roman" w:cs="Times New Roman"/>
          <w:sz w:val="20"/>
          <w:szCs w:val="24"/>
        </w:rPr>
        <w:t xml:space="preserve">  </w:t>
      </w:r>
    </w:p>
    <w:p w:rsidR="00BF1A9E" w:rsidRPr="003111AF"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3111AF">
        <w:rPr>
          <w:rFonts w:ascii="Times New Roman" w:eastAsia="Calibri" w:hAnsi="Times New Roman" w:cs="Times New Roman"/>
          <w:sz w:val="20"/>
          <w:szCs w:val="24"/>
        </w:rPr>
        <w:t xml:space="preserve">Relative to the Local Universities and Colleges (LUCs), the computed p-values between compliance of quality with respect to governance and management, quality of teaching and research faculty, curriculum, student services, community extension/outreach and physical facilities are all 0.000.  The data illustrated that there is a significant relationship between the level of compliance of all </w:t>
      </w:r>
      <w:r w:rsidRPr="003111AF">
        <w:rPr>
          <w:rFonts w:ascii="Times New Roman" w:eastAsia="Calibri" w:hAnsi="Times New Roman" w:cs="Times New Roman"/>
          <w:sz w:val="20"/>
          <w:szCs w:val="24"/>
        </w:rPr>
        <w:lastRenderedPageBreak/>
        <w:t>aspects of quality; and access of Local Universities and Colleges (LUCs).  The findings revealed that compliance of all aspects of quality in Local Universities and Colleges and access are related to each other.</w:t>
      </w:r>
    </w:p>
    <w:p w:rsidR="008B61D1" w:rsidRPr="003111AF" w:rsidRDefault="008B61D1"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p>
    <w:p w:rsidR="00BF1A9E" w:rsidRPr="003111AF"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3111AF">
        <w:rPr>
          <w:rFonts w:ascii="Times New Roman" w:eastAsia="Calibri" w:hAnsi="Times New Roman" w:cs="Times New Roman"/>
          <w:sz w:val="20"/>
          <w:szCs w:val="24"/>
        </w:rPr>
        <w:t>Relative to the Private Higher Education Institutions (HEIs), the computed p-values between the compliance of quality with respect to governance and management, quality of teaching and research faculty, curriculum, student services, community extension/outreach and physical facilities are all 0.000.  The data illustrated that there is a significant relationships between the level of compliance of all aspects and access of Private Higher Education Institutions (PHEIs). The findings showed that compliance of all aspects of quality in Private Higher Education Institutions (PHEIs) and access are related to each other.</w:t>
      </w:r>
    </w:p>
    <w:p w:rsidR="008B61D1" w:rsidRPr="003111AF" w:rsidRDefault="008B61D1" w:rsidP="00D26E3C">
      <w:pPr>
        <w:autoSpaceDE w:val="0"/>
        <w:autoSpaceDN w:val="0"/>
        <w:adjustRightInd w:val="0"/>
        <w:spacing w:after="0" w:line="240" w:lineRule="auto"/>
        <w:jc w:val="center"/>
        <w:rPr>
          <w:rFonts w:ascii="Times New Roman" w:eastAsia="Calibri" w:hAnsi="Times New Roman" w:cs="Times New Roman"/>
          <w:color w:val="000000"/>
          <w:sz w:val="20"/>
        </w:rPr>
      </w:pPr>
    </w:p>
    <w:p w:rsidR="00BF1A9E" w:rsidRPr="003111AF" w:rsidRDefault="00BF1A9E" w:rsidP="00D26E3C">
      <w:pPr>
        <w:autoSpaceDE w:val="0"/>
        <w:autoSpaceDN w:val="0"/>
        <w:adjustRightInd w:val="0"/>
        <w:spacing w:after="0" w:line="240" w:lineRule="auto"/>
        <w:jc w:val="center"/>
        <w:rPr>
          <w:rFonts w:ascii="Times New Roman" w:eastAsia="Calibri" w:hAnsi="Times New Roman" w:cs="Times New Roman"/>
          <w:color w:val="000000"/>
          <w:sz w:val="20"/>
        </w:rPr>
      </w:pPr>
      <w:r w:rsidRPr="003111AF">
        <w:rPr>
          <w:rFonts w:ascii="Times New Roman" w:eastAsia="Calibri" w:hAnsi="Times New Roman" w:cs="Times New Roman"/>
          <w:color w:val="000000"/>
          <w:sz w:val="20"/>
        </w:rPr>
        <w:t xml:space="preserve">Table </w:t>
      </w:r>
      <w:r w:rsidR="00900611" w:rsidRPr="003111AF">
        <w:rPr>
          <w:rFonts w:ascii="Times New Roman" w:eastAsia="Calibri" w:hAnsi="Times New Roman" w:cs="Times New Roman"/>
          <w:color w:val="000000"/>
          <w:sz w:val="20"/>
        </w:rPr>
        <w:t>3</w:t>
      </w:r>
    </w:p>
    <w:p w:rsidR="00BF1A9E" w:rsidRPr="003111AF" w:rsidRDefault="00BF1A9E" w:rsidP="00D26E3C">
      <w:pPr>
        <w:autoSpaceDE w:val="0"/>
        <w:autoSpaceDN w:val="0"/>
        <w:adjustRightInd w:val="0"/>
        <w:spacing w:after="0" w:line="240" w:lineRule="auto"/>
        <w:jc w:val="center"/>
        <w:rPr>
          <w:rFonts w:ascii="Times New Roman" w:eastAsia="Calibri" w:hAnsi="Times New Roman" w:cs="Times New Roman"/>
          <w:color w:val="000000"/>
          <w:sz w:val="20"/>
        </w:rPr>
      </w:pPr>
    </w:p>
    <w:p w:rsidR="00BF1A9E" w:rsidRPr="003111AF" w:rsidRDefault="00BF1A9E" w:rsidP="00D26E3C">
      <w:pPr>
        <w:autoSpaceDE w:val="0"/>
        <w:autoSpaceDN w:val="0"/>
        <w:adjustRightInd w:val="0"/>
        <w:spacing w:after="0" w:line="240" w:lineRule="auto"/>
        <w:jc w:val="center"/>
        <w:rPr>
          <w:rFonts w:ascii="Times New Roman" w:eastAsia="Calibri" w:hAnsi="Times New Roman" w:cs="Times New Roman"/>
          <w:b/>
          <w:color w:val="000000"/>
          <w:sz w:val="20"/>
        </w:rPr>
      </w:pPr>
      <w:r w:rsidRPr="003111AF">
        <w:rPr>
          <w:rFonts w:ascii="Times New Roman" w:eastAsia="Calibri" w:hAnsi="Times New Roman" w:cs="Times New Roman"/>
          <w:b/>
          <w:color w:val="000000"/>
          <w:sz w:val="20"/>
        </w:rPr>
        <w:t xml:space="preserve">Computed Pearson’s r and Probability Values on the Significant Relationship </w:t>
      </w:r>
      <w:proofErr w:type="gramStart"/>
      <w:r w:rsidRPr="003111AF">
        <w:rPr>
          <w:rFonts w:ascii="Times New Roman" w:eastAsia="Calibri" w:hAnsi="Times New Roman" w:cs="Times New Roman"/>
          <w:b/>
          <w:color w:val="000000"/>
          <w:sz w:val="20"/>
        </w:rPr>
        <w:t>Between</w:t>
      </w:r>
      <w:proofErr w:type="gramEnd"/>
      <w:r w:rsidRPr="003111AF">
        <w:rPr>
          <w:rFonts w:ascii="Times New Roman" w:eastAsia="Calibri" w:hAnsi="Times New Roman" w:cs="Times New Roman"/>
          <w:b/>
          <w:color w:val="000000"/>
          <w:sz w:val="20"/>
        </w:rPr>
        <w:t xml:space="preserve"> the Areas of Compliance Indicators of Quality Assurance and Capacity Building</w:t>
      </w:r>
    </w:p>
    <w:p w:rsidR="00BF1A9E" w:rsidRPr="00967A4F" w:rsidRDefault="00BF1A9E" w:rsidP="00BF1A9E">
      <w:pPr>
        <w:autoSpaceDE w:val="0"/>
        <w:autoSpaceDN w:val="0"/>
        <w:adjustRightInd w:val="0"/>
        <w:jc w:val="center"/>
        <w:rPr>
          <w:rFonts w:ascii="Calibri" w:eastAsia="Calibri" w:hAnsi="Calibri" w:cs="Times New Roman"/>
          <w:sz w:val="24"/>
          <w:szCs w:val="24"/>
        </w:rPr>
      </w:pP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38"/>
        <w:gridCol w:w="1350"/>
        <w:gridCol w:w="720"/>
        <w:gridCol w:w="1350"/>
        <w:gridCol w:w="720"/>
        <w:gridCol w:w="1350"/>
        <w:gridCol w:w="630"/>
      </w:tblGrid>
      <w:tr w:rsidR="00BF1A9E" w:rsidRPr="00967A4F" w:rsidTr="0049030E">
        <w:trPr>
          <w:cantSplit/>
          <w:jc w:val="center"/>
        </w:trPr>
        <w:tc>
          <w:tcPr>
            <w:tcW w:w="2138" w:type="dxa"/>
            <w:vMerge w:val="restart"/>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 xml:space="preserve">Level of Compliance </w:t>
            </w:r>
          </w:p>
        </w:tc>
        <w:tc>
          <w:tcPr>
            <w:tcW w:w="6120" w:type="dxa"/>
            <w:gridSpan w:val="6"/>
            <w:shd w:val="clear" w:color="auto" w:fill="FFFFFF"/>
            <w:vAlign w:val="center"/>
          </w:tcPr>
          <w:p w:rsidR="00BF1A9E" w:rsidRPr="00D26E3C" w:rsidRDefault="00BF1A9E" w:rsidP="00BF1A9E">
            <w:pPr>
              <w:pStyle w:val="ListParagraph"/>
              <w:numPr>
                <w:ilvl w:val="0"/>
                <w:numId w:val="2"/>
              </w:numPr>
              <w:autoSpaceDE w:val="0"/>
              <w:autoSpaceDN w:val="0"/>
              <w:adjustRightInd w:val="0"/>
              <w:spacing w:after="0" w:line="240" w:lineRule="auto"/>
              <w:ind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Capacity Building</w:t>
            </w:r>
          </w:p>
        </w:tc>
      </w:tr>
      <w:tr w:rsidR="00BF1A9E" w:rsidRPr="00967A4F" w:rsidTr="0049030E">
        <w:trPr>
          <w:cantSplit/>
          <w:jc w:val="center"/>
        </w:trPr>
        <w:tc>
          <w:tcPr>
            <w:tcW w:w="2138" w:type="dxa"/>
            <w:vMerge/>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0"/>
              </w:rPr>
            </w:pPr>
          </w:p>
        </w:tc>
        <w:tc>
          <w:tcPr>
            <w:tcW w:w="2070" w:type="dxa"/>
            <w:gridSpan w:val="2"/>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SUC</w:t>
            </w:r>
          </w:p>
        </w:tc>
        <w:tc>
          <w:tcPr>
            <w:tcW w:w="2070" w:type="dxa"/>
            <w:gridSpan w:val="2"/>
            <w:shd w:val="clear" w:color="auto" w:fill="FFFFFF"/>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LUC</w:t>
            </w:r>
          </w:p>
        </w:tc>
        <w:tc>
          <w:tcPr>
            <w:tcW w:w="1980" w:type="dxa"/>
            <w:gridSpan w:val="2"/>
            <w:shd w:val="clear" w:color="auto" w:fill="FFFFFF"/>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PHEI</w:t>
            </w:r>
          </w:p>
        </w:tc>
      </w:tr>
      <w:tr w:rsidR="00BF1A9E" w:rsidRPr="00967A4F" w:rsidTr="0049030E">
        <w:trPr>
          <w:cantSplit/>
          <w:trHeight w:val="368"/>
          <w:jc w:val="center"/>
        </w:trPr>
        <w:tc>
          <w:tcPr>
            <w:tcW w:w="2138" w:type="dxa"/>
            <w:vMerge/>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0"/>
              </w:rPr>
            </w:pP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Pearson’s r</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Sig.</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Pearson’s r</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Sig.</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Pearson’s r</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Sig.</w:t>
            </w:r>
          </w:p>
        </w:tc>
      </w:tr>
      <w:tr w:rsidR="00BF1A9E" w:rsidRPr="00967A4F" w:rsidTr="0049030E">
        <w:trPr>
          <w:cantSplit/>
          <w:jc w:val="center"/>
        </w:trPr>
        <w:tc>
          <w:tcPr>
            <w:tcW w:w="213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A. Governance &amp; Management</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.164</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.195</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.473</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.454</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3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B. Quality of Teaching and Research Faculty</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.048</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.706</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.459</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.001*</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.478</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3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C. Curriculum</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.103</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.416</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.531</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.466</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3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D. Student Services</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.202</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.110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.530</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.500</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3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E. Community Extension/Outreach</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.164</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.195</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.520</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.486</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138"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F. Physical Facilities</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.234</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.063</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.551</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.429</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bl>
    <w:p w:rsidR="00BF1A9E" w:rsidRPr="00967A4F" w:rsidRDefault="00BF1A9E" w:rsidP="00BF1A9E">
      <w:pPr>
        <w:autoSpaceDE w:val="0"/>
        <w:autoSpaceDN w:val="0"/>
        <w:adjustRightInd w:val="0"/>
        <w:rPr>
          <w:rFonts w:ascii="Calibri" w:eastAsia="Calibri" w:hAnsi="Calibri" w:cs="Times New Roman"/>
          <w:sz w:val="24"/>
          <w:szCs w:val="24"/>
        </w:rPr>
      </w:pPr>
    </w:p>
    <w:p w:rsidR="008B61D1"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0"/>
        </w:rPr>
      </w:pPr>
      <w:r w:rsidRPr="00D26E3C">
        <w:rPr>
          <w:rFonts w:ascii="Times New Roman" w:eastAsia="Calibri" w:hAnsi="Times New Roman" w:cs="Times New Roman"/>
          <w:sz w:val="20"/>
          <w:szCs w:val="20"/>
        </w:rPr>
        <w:t xml:space="preserve">As shown in Table </w:t>
      </w:r>
      <w:r w:rsidR="00900611">
        <w:rPr>
          <w:rFonts w:ascii="Times New Roman" w:eastAsia="Calibri" w:hAnsi="Times New Roman" w:cs="Times New Roman"/>
          <w:sz w:val="20"/>
          <w:szCs w:val="20"/>
        </w:rPr>
        <w:t>3</w:t>
      </w:r>
      <w:r w:rsidRPr="00D26E3C">
        <w:rPr>
          <w:rFonts w:ascii="Times New Roman" w:eastAsia="Calibri" w:hAnsi="Times New Roman" w:cs="Times New Roman"/>
          <w:sz w:val="20"/>
          <w:szCs w:val="20"/>
        </w:rPr>
        <w:t xml:space="preserve">, the computed p-values between the compliance of quality with respect to governance and management,  teaching and research faculty, curriculum, student services, community extensions/outreach and physical facilities, and capacity building of State Universities and Colleges (SUCs)  are 0,195, 0.706, 0.416, 0.110, 0.195, and 0.063 which are higher than the 0.05 level of significance.  The data illustrated that there is no significant relationship between the level of compliance of all aspects and access of Local Universities and Colleges (LUCs).  The findings emphasized that compliance of all aspects of quality and capacity building are related to each other.  </w:t>
      </w:r>
    </w:p>
    <w:p w:rsidR="00BF1A9E" w:rsidRPr="00D26E3C"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0"/>
        </w:rPr>
      </w:pPr>
      <w:r w:rsidRPr="00D26E3C">
        <w:rPr>
          <w:rFonts w:ascii="Times New Roman" w:eastAsia="Calibri" w:hAnsi="Times New Roman" w:cs="Times New Roman"/>
          <w:sz w:val="20"/>
          <w:szCs w:val="20"/>
        </w:rPr>
        <w:t xml:space="preserve"> </w:t>
      </w:r>
    </w:p>
    <w:p w:rsidR="00BF1A9E"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0"/>
        </w:rPr>
      </w:pPr>
      <w:r w:rsidRPr="00D26E3C">
        <w:rPr>
          <w:rFonts w:ascii="Times New Roman" w:eastAsia="Calibri" w:hAnsi="Times New Roman" w:cs="Times New Roman"/>
          <w:sz w:val="20"/>
          <w:szCs w:val="20"/>
        </w:rPr>
        <w:lastRenderedPageBreak/>
        <w:t xml:space="preserve">Relative to the Local Universities and Colleges (LUCs), the computed p-values between the compliance of all aspects of quality with respect to governance and management, quality of teaching and research faculty, curriculum, student services, community extensions/outreach and physical facilities; and capacity building is all 0.000 which is lower than 0.05 level of significance.  The data illustrated that there is a significant relationship between the level of compliance of all aspects; and access of Local Universities and Colleges (LUCs). </w:t>
      </w:r>
    </w:p>
    <w:p w:rsidR="008B61D1" w:rsidRPr="00D26E3C" w:rsidRDefault="008B61D1"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0"/>
        </w:rPr>
      </w:pPr>
    </w:p>
    <w:p w:rsidR="00BF1A9E" w:rsidRPr="00D26E3C"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0"/>
        </w:rPr>
      </w:pPr>
      <w:r w:rsidRPr="00D26E3C">
        <w:rPr>
          <w:rFonts w:ascii="Times New Roman" w:eastAsia="Calibri" w:hAnsi="Times New Roman" w:cs="Times New Roman"/>
          <w:sz w:val="20"/>
          <w:szCs w:val="20"/>
        </w:rPr>
        <w:t xml:space="preserve">Relative to the Private Higher Education Institutions (PHEIs), the computed p-values of compliance between the compliance of governance and management, quality of teaching and research faculty, curriculum, student services, community extensions/outreach and physical facilities; and capacity building is all 0.000 which is lower than 0.05 level of significance.  The data illustrated that there is a significant relationship between the level of compliance of all aspects; and access of Private Higher Education Institutions (PHEIs). </w:t>
      </w:r>
    </w:p>
    <w:p w:rsidR="00D26E3C" w:rsidRPr="00D26E3C" w:rsidRDefault="00D26E3C" w:rsidP="00D26E3C">
      <w:pPr>
        <w:autoSpaceDE w:val="0"/>
        <w:autoSpaceDN w:val="0"/>
        <w:adjustRightInd w:val="0"/>
        <w:spacing w:after="0" w:line="240" w:lineRule="auto"/>
        <w:ind w:firstLine="720"/>
        <w:jc w:val="both"/>
        <w:rPr>
          <w:rFonts w:ascii="Times New Roman" w:eastAsia="Calibri" w:hAnsi="Times New Roman" w:cs="Times New Roman"/>
          <w:color w:val="000000"/>
          <w:sz w:val="20"/>
          <w:szCs w:val="20"/>
        </w:rPr>
      </w:pPr>
    </w:p>
    <w:p w:rsidR="00BF1A9E" w:rsidRPr="003111AF" w:rsidRDefault="00BF1A9E" w:rsidP="00D26E3C">
      <w:pPr>
        <w:autoSpaceDE w:val="0"/>
        <w:autoSpaceDN w:val="0"/>
        <w:adjustRightInd w:val="0"/>
        <w:jc w:val="center"/>
        <w:rPr>
          <w:rFonts w:ascii="Times New Roman" w:eastAsia="Calibri" w:hAnsi="Times New Roman" w:cs="Times New Roman"/>
          <w:color w:val="000000"/>
          <w:sz w:val="20"/>
          <w:szCs w:val="24"/>
        </w:rPr>
      </w:pPr>
      <w:r w:rsidRPr="003111AF">
        <w:rPr>
          <w:rFonts w:ascii="Times New Roman" w:eastAsia="Calibri" w:hAnsi="Times New Roman" w:cs="Times New Roman"/>
          <w:color w:val="000000"/>
          <w:sz w:val="20"/>
          <w:szCs w:val="24"/>
        </w:rPr>
        <w:t xml:space="preserve">Table </w:t>
      </w:r>
      <w:r w:rsidR="00900611" w:rsidRPr="003111AF">
        <w:rPr>
          <w:rFonts w:ascii="Times New Roman" w:eastAsia="Calibri" w:hAnsi="Times New Roman" w:cs="Times New Roman"/>
          <w:color w:val="000000"/>
          <w:sz w:val="20"/>
          <w:szCs w:val="24"/>
        </w:rPr>
        <w:t>4</w:t>
      </w:r>
    </w:p>
    <w:p w:rsidR="00BF1A9E" w:rsidRPr="003111AF" w:rsidRDefault="00BF1A9E" w:rsidP="00D26E3C">
      <w:pPr>
        <w:autoSpaceDE w:val="0"/>
        <w:autoSpaceDN w:val="0"/>
        <w:adjustRightInd w:val="0"/>
        <w:spacing w:after="0" w:line="240" w:lineRule="auto"/>
        <w:jc w:val="center"/>
        <w:rPr>
          <w:rFonts w:ascii="Calibri" w:eastAsia="Calibri" w:hAnsi="Calibri" w:cs="Times New Roman"/>
          <w:b/>
          <w:color w:val="000000"/>
          <w:szCs w:val="24"/>
        </w:rPr>
      </w:pPr>
      <w:r w:rsidRPr="003111AF">
        <w:rPr>
          <w:rFonts w:ascii="Times New Roman" w:eastAsia="Calibri" w:hAnsi="Times New Roman" w:cs="Times New Roman"/>
          <w:b/>
          <w:color w:val="000000"/>
          <w:sz w:val="20"/>
          <w:szCs w:val="24"/>
        </w:rPr>
        <w:t xml:space="preserve">Computed Pearson’s r and Probability Values on the Significant Relationship </w:t>
      </w:r>
      <w:proofErr w:type="gramStart"/>
      <w:r w:rsidRPr="003111AF">
        <w:rPr>
          <w:rFonts w:ascii="Times New Roman" w:eastAsia="Calibri" w:hAnsi="Times New Roman" w:cs="Times New Roman"/>
          <w:b/>
          <w:color w:val="000000"/>
          <w:sz w:val="20"/>
          <w:szCs w:val="24"/>
        </w:rPr>
        <w:t>Between</w:t>
      </w:r>
      <w:proofErr w:type="gramEnd"/>
      <w:r w:rsidRPr="003111AF">
        <w:rPr>
          <w:rFonts w:ascii="Times New Roman" w:eastAsia="Calibri" w:hAnsi="Times New Roman" w:cs="Times New Roman"/>
          <w:b/>
          <w:color w:val="000000"/>
          <w:sz w:val="20"/>
          <w:szCs w:val="24"/>
        </w:rPr>
        <w:t xml:space="preserve"> the Areas of Compliance Indicators of Quality Assurance and Excellence</w:t>
      </w:r>
    </w:p>
    <w:p w:rsidR="00BF1A9E" w:rsidRPr="003111AF" w:rsidRDefault="00BF1A9E" w:rsidP="00BF1A9E">
      <w:pPr>
        <w:autoSpaceDE w:val="0"/>
        <w:autoSpaceDN w:val="0"/>
        <w:adjustRightInd w:val="0"/>
        <w:jc w:val="center"/>
        <w:rPr>
          <w:rFonts w:ascii="Calibri" w:eastAsia="Calibri" w:hAnsi="Calibri" w:cs="Times New Roman"/>
          <w:szCs w:val="24"/>
        </w:rPr>
      </w:pP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37"/>
        <w:gridCol w:w="1384"/>
        <w:gridCol w:w="720"/>
        <w:gridCol w:w="1440"/>
        <w:gridCol w:w="720"/>
        <w:gridCol w:w="1350"/>
        <w:gridCol w:w="720"/>
      </w:tblGrid>
      <w:tr w:rsidR="00BF1A9E" w:rsidRPr="00967A4F" w:rsidTr="0049030E">
        <w:trPr>
          <w:cantSplit/>
          <w:jc w:val="center"/>
        </w:trPr>
        <w:tc>
          <w:tcPr>
            <w:tcW w:w="2037" w:type="dxa"/>
            <w:vMerge w:val="restart"/>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 xml:space="preserve">Level of Compliance </w:t>
            </w:r>
          </w:p>
        </w:tc>
        <w:tc>
          <w:tcPr>
            <w:tcW w:w="6334" w:type="dxa"/>
            <w:gridSpan w:val="6"/>
            <w:shd w:val="clear" w:color="auto" w:fill="FFFFFF"/>
            <w:vAlign w:val="center"/>
          </w:tcPr>
          <w:p w:rsidR="00BF1A9E" w:rsidRPr="00D26E3C" w:rsidRDefault="00BF1A9E" w:rsidP="00BF1A9E">
            <w:pPr>
              <w:pStyle w:val="ListParagraph"/>
              <w:numPr>
                <w:ilvl w:val="0"/>
                <w:numId w:val="2"/>
              </w:numPr>
              <w:autoSpaceDE w:val="0"/>
              <w:autoSpaceDN w:val="0"/>
              <w:adjustRightInd w:val="0"/>
              <w:spacing w:after="0" w:line="240" w:lineRule="auto"/>
              <w:ind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Excellence</w:t>
            </w:r>
          </w:p>
        </w:tc>
      </w:tr>
      <w:tr w:rsidR="00BF1A9E" w:rsidRPr="00967A4F" w:rsidTr="0049030E">
        <w:trPr>
          <w:cantSplit/>
          <w:jc w:val="center"/>
        </w:trPr>
        <w:tc>
          <w:tcPr>
            <w:tcW w:w="2037" w:type="dxa"/>
            <w:vMerge/>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0"/>
              </w:rPr>
            </w:pPr>
          </w:p>
        </w:tc>
        <w:tc>
          <w:tcPr>
            <w:tcW w:w="2104" w:type="dxa"/>
            <w:gridSpan w:val="2"/>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SUCs</w:t>
            </w:r>
          </w:p>
        </w:tc>
        <w:tc>
          <w:tcPr>
            <w:tcW w:w="2160" w:type="dxa"/>
            <w:gridSpan w:val="2"/>
            <w:shd w:val="clear" w:color="auto" w:fill="FFFFFF"/>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LUCs</w:t>
            </w:r>
          </w:p>
        </w:tc>
        <w:tc>
          <w:tcPr>
            <w:tcW w:w="2070" w:type="dxa"/>
            <w:gridSpan w:val="2"/>
            <w:shd w:val="clear" w:color="auto" w:fill="FFFFFF"/>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PHEIs</w:t>
            </w:r>
          </w:p>
        </w:tc>
      </w:tr>
      <w:tr w:rsidR="00BF1A9E" w:rsidRPr="00967A4F" w:rsidTr="0049030E">
        <w:trPr>
          <w:cantSplit/>
          <w:jc w:val="center"/>
        </w:trPr>
        <w:tc>
          <w:tcPr>
            <w:tcW w:w="2037" w:type="dxa"/>
            <w:vMerge/>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0"/>
              </w:rPr>
            </w:pPr>
          </w:p>
        </w:tc>
        <w:tc>
          <w:tcPr>
            <w:tcW w:w="138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Pearson’s r</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Sig.</w:t>
            </w:r>
          </w:p>
        </w:tc>
        <w:tc>
          <w:tcPr>
            <w:tcW w:w="144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Pearson’s r</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Sig.</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Pearson’s r</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0"/>
              </w:rPr>
            </w:pPr>
            <w:r w:rsidRPr="00D26E3C">
              <w:rPr>
                <w:rFonts w:ascii="Times New Roman" w:eastAsia="Calibri" w:hAnsi="Times New Roman" w:cs="Times New Roman"/>
                <w:b/>
                <w:color w:val="000000"/>
                <w:sz w:val="20"/>
                <w:szCs w:val="20"/>
              </w:rPr>
              <w:t>Sig.</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A. Governance &amp; Management</w:t>
            </w:r>
          </w:p>
        </w:tc>
        <w:tc>
          <w:tcPr>
            <w:tcW w:w="138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.253</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.043</w:t>
            </w:r>
          </w:p>
        </w:tc>
        <w:tc>
          <w:tcPr>
            <w:tcW w:w="144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.515</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.490</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B. Quality of Teaching and Research Faculty</w:t>
            </w:r>
          </w:p>
        </w:tc>
        <w:tc>
          <w:tcPr>
            <w:tcW w:w="138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.201</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.110</w:t>
            </w:r>
          </w:p>
        </w:tc>
        <w:tc>
          <w:tcPr>
            <w:tcW w:w="144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.525</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.544</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 xml:space="preserve">.000* </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C. Curriculum</w:t>
            </w:r>
          </w:p>
        </w:tc>
        <w:tc>
          <w:tcPr>
            <w:tcW w:w="138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.200</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.113</w:t>
            </w:r>
          </w:p>
        </w:tc>
        <w:tc>
          <w:tcPr>
            <w:tcW w:w="144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.627</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.463</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D. Student Services</w:t>
            </w:r>
          </w:p>
        </w:tc>
        <w:tc>
          <w:tcPr>
            <w:tcW w:w="138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.337</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.007*</w:t>
            </w:r>
          </w:p>
        </w:tc>
        <w:tc>
          <w:tcPr>
            <w:tcW w:w="144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.556</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.530</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E. Community Extension/Outreach</w:t>
            </w:r>
          </w:p>
        </w:tc>
        <w:tc>
          <w:tcPr>
            <w:tcW w:w="138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.259</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.039*</w:t>
            </w:r>
          </w:p>
        </w:tc>
        <w:tc>
          <w:tcPr>
            <w:tcW w:w="144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.610</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.480</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F. Physical Facilities</w:t>
            </w:r>
          </w:p>
        </w:tc>
        <w:tc>
          <w:tcPr>
            <w:tcW w:w="1384"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.388</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.002*</w:t>
            </w:r>
          </w:p>
        </w:tc>
        <w:tc>
          <w:tcPr>
            <w:tcW w:w="144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.624</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.459</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bl>
    <w:p w:rsidR="00BF1A9E" w:rsidRPr="00967A4F" w:rsidRDefault="00BF1A9E" w:rsidP="00BF1A9E">
      <w:pPr>
        <w:autoSpaceDE w:val="0"/>
        <w:autoSpaceDN w:val="0"/>
        <w:adjustRightInd w:val="0"/>
        <w:rPr>
          <w:rFonts w:ascii="Calibri" w:eastAsia="Calibri" w:hAnsi="Calibri" w:cs="Times New Roman"/>
          <w:sz w:val="24"/>
          <w:szCs w:val="24"/>
        </w:rPr>
      </w:pPr>
    </w:p>
    <w:p w:rsidR="00BF1A9E"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t xml:space="preserve">As presented in Table </w:t>
      </w:r>
      <w:r w:rsidR="00900611">
        <w:rPr>
          <w:rFonts w:ascii="Times New Roman" w:eastAsia="Calibri" w:hAnsi="Times New Roman" w:cs="Times New Roman"/>
          <w:sz w:val="20"/>
          <w:szCs w:val="24"/>
        </w:rPr>
        <w:t>4</w:t>
      </w:r>
      <w:r w:rsidRPr="00D26E3C">
        <w:rPr>
          <w:rFonts w:ascii="Times New Roman" w:eastAsia="Calibri" w:hAnsi="Times New Roman" w:cs="Times New Roman"/>
          <w:sz w:val="20"/>
          <w:szCs w:val="24"/>
        </w:rPr>
        <w:t xml:space="preserve">, the computed P-values between the significant relationship between the level of compliance of quality assurance with respect to student services, community extensions/outreach and physical facilities, and excellence of the State Universities and Colleges (SUCs) are 0.007, 0.039 and 0.002 respectively which is lower than the 0.05 level of significance.  This means that there is a significant relationship between the compliance of quality assurance with respect to student services, community extensions/outreach and physical facilities; and the excellence of the State Universities and Colleges (SUCs). </w:t>
      </w:r>
    </w:p>
    <w:p w:rsidR="008B61D1" w:rsidRPr="00D26E3C" w:rsidRDefault="008B61D1"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p>
    <w:p w:rsidR="00BF1A9E"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t xml:space="preserve">On the computed values of the significant relationship between the level of compliance of quality assurance in State Universities and Colleges (SUCs) with respect to governance and management, quality of teaching and research faculty, and curriculum are 0.082, 0.234, and 0.208 respectively.  The result indicated that there is no significant relationship between the compliance with respect to governance and management, quality of teaching and research faculty and curriculum; and excellence of State Universities and Colleges (SUCs). </w:t>
      </w:r>
    </w:p>
    <w:p w:rsidR="008B61D1" w:rsidRPr="00D26E3C" w:rsidRDefault="008B61D1"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p>
    <w:p w:rsidR="00BF1A9E"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t>Relative to the Local Universities and Colleges (LUCs), the computed p-values between the compliance of governance and management,  quality of teaching and research faculty, curriculum, student services, community extensions/outreach and physical facilities; excellence is all 0.000.  The data illustrated that there is a significant relationship between the level of compliance of all aspects; and excellence of Local Universities Colleges (LUCs)</w:t>
      </w:r>
      <w:r w:rsidR="008B61D1">
        <w:rPr>
          <w:rFonts w:ascii="Times New Roman" w:eastAsia="Calibri" w:hAnsi="Times New Roman" w:cs="Times New Roman"/>
          <w:sz w:val="20"/>
          <w:szCs w:val="24"/>
        </w:rPr>
        <w:t>.</w:t>
      </w:r>
    </w:p>
    <w:p w:rsidR="008B61D1" w:rsidRPr="00D26E3C" w:rsidRDefault="008B61D1"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p>
    <w:p w:rsidR="00BF1A9E" w:rsidRPr="00D26E3C"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t>Relative to the Private Higher Education Institutions (PHEIs), the computed p-values of compliance of governance and management, quality of teaching and research faculty, curriculum, student services, community extensions/outreach and physical facilities are all 0.000.  The data illustrated that there is a significant relationship between the level of compliance of all aspects of quality assurance; and excellence of Private Higher Education Institutions (PHEIs).</w:t>
      </w:r>
    </w:p>
    <w:p w:rsidR="00D26E3C" w:rsidRPr="00D26E3C" w:rsidRDefault="00D26E3C" w:rsidP="00D26E3C">
      <w:pPr>
        <w:autoSpaceDE w:val="0"/>
        <w:autoSpaceDN w:val="0"/>
        <w:adjustRightInd w:val="0"/>
        <w:spacing w:after="0" w:line="240" w:lineRule="auto"/>
        <w:ind w:firstLine="720"/>
        <w:jc w:val="both"/>
        <w:rPr>
          <w:rFonts w:ascii="Times New Roman" w:eastAsia="Calibri" w:hAnsi="Times New Roman" w:cs="Times New Roman"/>
          <w:color w:val="000000"/>
          <w:sz w:val="20"/>
          <w:szCs w:val="24"/>
        </w:rPr>
      </w:pPr>
    </w:p>
    <w:p w:rsidR="00BF1A9E" w:rsidRPr="003111AF" w:rsidRDefault="00BF1A9E" w:rsidP="00D26E3C">
      <w:pPr>
        <w:autoSpaceDE w:val="0"/>
        <w:autoSpaceDN w:val="0"/>
        <w:adjustRightInd w:val="0"/>
        <w:jc w:val="center"/>
        <w:rPr>
          <w:rFonts w:ascii="Times New Roman" w:eastAsia="Calibri" w:hAnsi="Times New Roman" w:cs="Times New Roman"/>
          <w:color w:val="000000"/>
          <w:sz w:val="20"/>
          <w:szCs w:val="24"/>
        </w:rPr>
      </w:pPr>
      <w:r w:rsidRPr="003111AF">
        <w:rPr>
          <w:rFonts w:ascii="Times New Roman" w:eastAsia="Calibri" w:hAnsi="Times New Roman" w:cs="Times New Roman"/>
          <w:color w:val="000000"/>
          <w:sz w:val="20"/>
          <w:szCs w:val="24"/>
        </w:rPr>
        <w:t xml:space="preserve">Table </w:t>
      </w:r>
      <w:r w:rsidR="00900611" w:rsidRPr="003111AF">
        <w:rPr>
          <w:rFonts w:ascii="Times New Roman" w:eastAsia="Calibri" w:hAnsi="Times New Roman" w:cs="Times New Roman"/>
          <w:color w:val="000000"/>
          <w:sz w:val="20"/>
          <w:szCs w:val="24"/>
        </w:rPr>
        <w:t>5</w:t>
      </w:r>
    </w:p>
    <w:p w:rsidR="00BF1A9E" w:rsidRPr="003111AF" w:rsidRDefault="00BF1A9E" w:rsidP="00D26E3C">
      <w:pPr>
        <w:autoSpaceDE w:val="0"/>
        <w:autoSpaceDN w:val="0"/>
        <w:adjustRightInd w:val="0"/>
        <w:spacing w:after="0" w:line="240" w:lineRule="auto"/>
        <w:jc w:val="center"/>
        <w:rPr>
          <w:rFonts w:ascii="Times New Roman" w:eastAsia="Calibri" w:hAnsi="Times New Roman" w:cs="Times New Roman"/>
          <w:b/>
          <w:color w:val="000000"/>
          <w:sz w:val="20"/>
          <w:szCs w:val="24"/>
        </w:rPr>
      </w:pPr>
      <w:r w:rsidRPr="003111AF">
        <w:rPr>
          <w:rFonts w:ascii="Times New Roman" w:eastAsia="Calibri" w:hAnsi="Times New Roman" w:cs="Times New Roman"/>
          <w:b/>
          <w:color w:val="000000"/>
          <w:sz w:val="20"/>
          <w:szCs w:val="24"/>
        </w:rPr>
        <w:t>Computed Pearson’s r and Probability Values on the Significant Relationship Between the Areas of Compliance Indicators of Quality Assurance and Ethical and Innovative Governance</w:t>
      </w:r>
    </w:p>
    <w:p w:rsidR="00BF1A9E" w:rsidRPr="00967A4F" w:rsidRDefault="00BF1A9E" w:rsidP="00BF1A9E">
      <w:pPr>
        <w:autoSpaceDE w:val="0"/>
        <w:autoSpaceDN w:val="0"/>
        <w:adjustRightInd w:val="0"/>
        <w:jc w:val="center"/>
        <w:rPr>
          <w:rFonts w:ascii="Calibri" w:eastAsia="Calibri" w:hAnsi="Calibri" w:cs="Times New Roman"/>
          <w:sz w:val="24"/>
          <w:szCs w:val="24"/>
        </w:rPr>
      </w:pP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37"/>
        <w:gridCol w:w="1521"/>
        <w:gridCol w:w="720"/>
        <w:gridCol w:w="1350"/>
        <w:gridCol w:w="720"/>
        <w:gridCol w:w="1350"/>
        <w:gridCol w:w="630"/>
      </w:tblGrid>
      <w:tr w:rsidR="00BF1A9E" w:rsidRPr="00967A4F" w:rsidTr="0049030E">
        <w:trPr>
          <w:cantSplit/>
          <w:jc w:val="center"/>
        </w:trPr>
        <w:tc>
          <w:tcPr>
            <w:tcW w:w="2037" w:type="dxa"/>
            <w:vMerge w:val="restart"/>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 xml:space="preserve">Level of Compliance </w:t>
            </w:r>
          </w:p>
        </w:tc>
        <w:tc>
          <w:tcPr>
            <w:tcW w:w="6291" w:type="dxa"/>
            <w:gridSpan w:val="6"/>
            <w:shd w:val="clear" w:color="auto" w:fill="FFFFFF"/>
            <w:vAlign w:val="center"/>
          </w:tcPr>
          <w:p w:rsidR="00BF1A9E" w:rsidRPr="00D26E3C" w:rsidRDefault="00BF1A9E" w:rsidP="00BF1A9E">
            <w:pPr>
              <w:pStyle w:val="ListParagraph"/>
              <w:numPr>
                <w:ilvl w:val="0"/>
                <w:numId w:val="2"/>
              </w:numPr>
              <w:autoSpaceDE w:val="0"/>
              <w:autoSpaceDN w:val="0"/>
              <w:adjustRightInd w:val="0"/>
              <w:spacing w:after="0" w:line="240" w:lineRule="auto"/>
              <w:ind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Ethical and Innovative Governance</w:t>
            </w:r>
          </w:p>
        </w:tc>
      </w:tr>
      <w:tr w:rsidR="00BF1A9E" w:rsidRPr="00967A4F" w:rsidTr="0049030E">
        <w:trPr>
          <w:cantSplit/>
          <w:jc w:val="center"/>
        </w:trPr>
        <w:tc>
          <w:tcPr>
            <w:tcW w:w="2037" w:type="dxa"/>
            <w:vMerge/>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4"/>
              </w:rPr>
            </w:pPr>
          </w:p>
        </w:tc>
        <w:tc>
          <w:tcPr>
            <w:tcW w:w="2241" w:type="dxa"/>
            <w:gridSpan w:val="2"/>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SUCs</w:t>
            </w:r>
          </w:p>
        </w:tc>
        <w:tc>
          <w:tcPr>
            <w:tcW w:w="2070" w:type="dxa"/>
            <w:gridSpan w:val="2"/>
            <w:shd w:val="clear" w:color="auto" w:fill="FFFFFF"/>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LUCs</w:t>
            </w:r>
          </w:p>
        </w:tc>
        <w:tc>
          <w:tcPr>
            <w:tcW w:w="1980" w:type="dxa"/>
            <w:gridSpan w:val="2"/>
            <w:shd w:val="clear" w:color="auto" w:fill="FFFFFF"/>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PHEIs</w:t>
            </w:r>
          </w:p>
        </w:tc>
      </w:tr>
      <w:tr w:rsidR="00BF1A9E" w:rsidRPr="00967A4F" w:rsidTr="0049030E">
        <w:trPr>
          <w:cantSplit/>
          <w:jc w:val="center"/>
        </w:trPr>
        <w:tc>
          <w:tcPr>
            <w:tcW w:w="2037" w:type="dxa"/>
            <w:vMerge/>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b/>
                <w:color w:val="000000"/>
                <w:sz w:val="20"/>
                <w:szCs w:val="24"/>
              </w:rPr>
            </w:pPr>
          </w:p>
        </w:tc>
        <w:tc>
          <w:tcPr>
            <w:tcW w:w="1521"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Pearson’s r</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Sig.</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Pearson’s r</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Sig.</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Pearson’s r</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b/>
                <w:color w:val="000000"/>
                <w:sz w:val="20"/>
                <w:szCs w:val="24"/>
              </w:rPr>
            </w:pPr>
            <w:r w:rsidRPr="00D26E3C">
              <w:rPr>
                <w:rFonts w:ascii="Times New Roman" w:eastAsia="Calibri" w:hAnsi="Times New Roman" w:cs="Times New Roman"/>
                <w:b/>
                <w:color w:val="000000"/>
                <w:sz w:val="20"/>
                <w:szCs w:val="24"/>
              </w:rPr>
              <w:t>Sig.</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A. Governance &amp; Management</w:t>
            </w:r>
          </w:p>
        </w:tc>
        <w:tc>
          <w:tcPr>
            <w:tcW w:w="1521"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.184</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.146</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.404</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.003*</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.414</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.000*</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B. Quality of Teaching and Research Faculty</w:t>
            </w:r>
          </w:p>
        </w:tc>
        <w:tc>
          <w:tcPr>
            <w:tcW w:w="1521"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.333</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.007*</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.521</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.511</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.000*</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C. Curriculum</w:t>
            </w:r>
          </w:p>
        </w:tc>
        <w:tc>
          <w:tcPr>
            <w:tcW w:w="1521"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.376</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.002*</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.496</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.516</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.000*</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D. Student Services</w:t>
            </w:r>
          </w:p>
        </w:tc>
        <w:tc>
          <w:tcPr>
            <w:tcW w:w="1521"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.428</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.464</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.001*</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.547</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.000*</w:t>
            </w:r>
          </w:p>
        </w:tc>
      </w:tr>
      <w:tr w:rsidR="00BF1A9E" w:rsidRPr="00967A4F"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E. Community Extension/Outreach</w:t>
            </w:r>
          </w:p>
        </w:tc>
        <w:tc>
          <w:tcPr>
            <w:tcW w:w="1521"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.405</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.001*</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.521</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.430</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.000*</w:t>
            </w:r>
          </w:p>
        </w:tc>
      </w:tr>
      <w:tr w:rsidR="00BF1A9E" w:rsidRPr="00D26E3C" w:rsidTr="0049030E">
        <w:trPr>
          <w:cantSplit/>
          <w:jc w:val="center"/>
        </w:trPr>
        <w:tc>
          <w:tcPr>
            <w:tcW w:w="2037" w:type="dxa"/>
            <w:shd w:val="clear" w:color="auto" w:fill="FFFFFF"/>
            <w:vAlign w:val="center"/>
          </w:tcPr>
          <w:p w:rsidR="00BF1A9E" w:rsidRPr="00D26E3C" w:rsidRDefault="00BF1A9E" w:rsidP="0049030E">
            <w:pPr>
              <w:autoSpaceDE w:val="0"/>
              <w:autoSpaceDN w:val="0"/>
              <w:adjustRightInd w:val="0"/>
              <w:ind w:left="60" w:right="60"/>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F. Physical Facilities</w:t>
            </w:r>
          </w:p>
        </w:tc>
        <w:tc>
          <w:tcPr>
            <w:tcW w:w="1521"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.407</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.001*</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.652</w:t>
            </w:r>
          </w:p>
        </w:tc>
        <w:tc>
          <w:tcPr>
            <w:tcW w:w="72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c>
          <w:tcPr>
            <w:tcW w:w="135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.400</w:t>
            </w:r>
          </w:p>
        </w:tc>
        <w:tc>
          <w:tcPr>
            <w:tcW w:w="630" w:type="dxa"/>
            <w:shd w:val="clear" w:color="auto" w:fill="FFFFFF"/>
            <w:vAlign w:val="center"/>
          </w:tcPr>
          <w:p w:rsidR="00BF1A9E" w:rsidRPr="00D26E3C" w:rsidRDefault="00BF1A9E" w:rsidP="0049030E">
            <w:pPr>
              <w:autoSpaceDE w:val="0"/>
              <w:autoSpaceDN w:val="0"/>
              <w:adjustRightInd w:val="0"/>
              <w:ind w:left="60" w:right="60"/>
              <w:jc w:val="center"/>
              <w:rPr>
                <w:rFonts w:ascii="Times New Roman" w:eastAsia="Calibri" w:hAnsi="Times New Roman" w:cs="Times New Roman"/>
                <w:color w:val="000000"/>
                <w:sz w:val="20"/>
                <w:szCs w:val="20"/>
              </w:rPr>
            </w:pPr>
            <w:r w:rsidRPr="00D26E3C">
              <w:rPr>
                <w:rFonts w:ascii="Times New Roman" w:eastAsia="Calibri" w:hAnsi="Times New Roman" w:cs="Times New Roman"/>
                <w:color w:val="000000"/>
                <w:sz w:val="20"/>
                <w:szCs w:val="20"/>
              </w:rPr>
              <w:t>.000*</w:t>
            </w:r>
          </w:p>
        </w:tc>
      </w:tr>
    </w:tbl>
    <w:p w:rsidR="00BF1A9E" w:rsidRPr="00967A4F" w:rsidRDefault="00BF1A9E" w:rsidP="00BF1A9E">
      <w:pPr>
        <w:autoSpaceDE w:val="0"/>
        <w:autoSpaceDN w:val="0"/>
        <w:adjustRightInd w:val="0"/>
        <w:rPr>
          <w:rFonts w:ascii="Calibri" w:eastAsia="Calibri" w:hAnsi="Calibri" w:cs="Times New Roman"/>
          <w:sz w:val="24"/>
          <w:szCs w:val="24"/>
        </w:rPr>
      </w:pPr>
    </w:p>
    <w:p w:rsidR="00BF1A9E"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lastRenderedPageBreak/>
        <w:t xml:space="preserve">As presented in Table </w:t>
      </w:r>
      <w:r w:rsidR="00900611">
        <w:rPr>
          <w:rFonts w:ascii="Times New Roman" w:eastAsia="Calibri" w:hAnsi="Times New Roman" w:cs="Times New Roman"/>
          <w:sz w:val="20"/>
          <w:szCs w:val="24"/>
        </w:rPr>
        <w:t>5</w:t>
      </w:r>
      <w:r w:rsidRPr="00D26E3C">
        <w:rPr>
          <w:rFonts w:ascii="Times New Roman" w:eastAsia="Calibri" w:hAnsi="Times New Roman" w:cs="Times New Roman"/>
          <w:sz w:val="20"/>
          <w:szCs w:val="24"/>
        </w:rPr>
        <w:t xml:space="preserve">, the computed P-values between the significant relationship between the level of compliance of quality assurance with respect to quality of teaching and research faculty, curriculum, student services, community extensions/outreach and physical facilities, and ethical and innovative governance of the State Universities and Colleges (SUCs) are 0.007, 0.002, 0.000, 0.001, and .001 respectively, which are lower than 0.05 levels of significance.  This means that there is a significant relationship between the compliance with respect to student services, community extensions/outreach and physical facilities and the ethical and innovative governance of the State Universities and Colleges (SUCs). On the computed p- value between the significant relationship between the level of compliance of State Universities and Colleges (SUCs) with respect to governance and management is 0.146 respectively which is higher than the 0.05 level of significance.  The result indicated that there is no significant relationship between the compliance of quality assurance with respect to governance and management; and ethical and innovative governance of State Universities and Colleges (SUCs). </w:t>
      </w:r>
    </w:p>
    <w:p w:rsidR="008B61D1" w:rsidRPr="00D26E3C" w:rsidRDefault="008B61D1"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p>
    <w:p w:rsidR="00BF1A9E" w:rsidRPr="00D26E3C"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t>Relative to the Local Universities and Colleges (LUCs), the computed p-values between the compliance of governance and management, quality of teaching and research faculty, curriculum, student services, community extensions/outreach and physical facilities; and ethical and innovative governance are 0.003, 0.000, 0.000, 0.001, 0.000, and 0.000 respectively which are lower than 0.05 level of significance.  The data illustrated that there is a significant relationship between the level of compliance of all aspects quality assurance and ethical and innovative governance of Local Colleges Universities and Colleges (LUCs).</w:t>
      </w:r>
    </w:p>
    <w:p w:rsidR="00BF1A9E" w:rsidRDefault="00BF1A9E"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t xml:space="preserve">Relative to the Private Higher Education Institutions (PHEIs), the computed p-values of compliance of governance and management,  quality of teaching and research faculty, curriculum, student services, community extensions/outreach and physical facilities; ethical and innovative governance are all 0.000.  The data illustrated that there is a significant relationship between the level of compliance of all aspects of quality assurance; and ethical and innovative of Private Higher Education Institutions (PHEIs). </w:t>
      </w:r>
    </w:p>
    <w:p w:rsidR="008B61D1" w:rsidRPr="00D26E3C" w:rsidRDefault="008B61D1" w:rsidP="003111AF">
      <w:pPr>
        <w:pStyle w:val="ListParagraph"/>
        <w:autoSpaceDE w:val="0"/>
        <w:autoSpaceDN w:val="0"/>
        <w:adjustRightInd w:val="0"/>
        <w:spacing w:after="0" w:line="360" w:lineRule="auto"/>
        <w:ind w:left="0" w:firstLine="720"/>
        <w:jc w:val="both"/>
        <w:rPr>
          <w:rFonts w:ascii="Times New Roman" w:eastAsia="Calibri" w:hAnsi="Times New Roman" w:cs="Times New Roman"/>
          <w:sz w:val="20"/>
          <w:szCs w:val="24"/>
        </w:rPr>
      </w:pPr>
    </w:p>
    <w:p w:rsidR="00BF1A9E" w:rsidRDefault="00BF1A9E" w:rsidP="003111AF">
      <w:pPr>
        <w:autoSpaceDE w:val="0"/>
        <w:autoSpaceDN w:val="0"/>
        <w:adjustRightInd w:val="0"/>
        <w:spacing w:after="0" w:line="360" w:lineRule="auto"/>
        <w:ind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t>Teachers in the era of rapid change are often required to take up extended roles and responsibilities, including curriculum developer, new teacher mentor, staff development facilitator, action researcher, team leader, decision-maker (</w:t>
      </w:r>
      <w:proofErr w:type="spellStart"/>
      <w:r w:rsidRPr="00D26E3C">
        <w:rPr>
          <w:rFonts w:ascii="Times New Roman" w:eastAsia="Calibri" w:hAnsi="Times New Roman" w:cs="Times New Roman"/>
          <w:sz w:val="20"/>
          <w:szCs w:val="24"/>
        </w:rPr>
        <w:t>Tsui</w:t>
      </w:r>
      <w:proofErr w:type="spellEnd"/>
      <w:r w:rsidRPr="00D26E3C">
        <w:rPr>
          <w:rFonts w:ascii="Times New Roman" w:eastAsia="Calibri" w:hAnsi="Times New Roman" w:cs="Times New Roman"/>
          <w:sz w:val="20"/>
          <w:szCs w:val="24"/>
        </w:rPr>
        <w:t xml:space="preserve"> &amp; Cheng, 2000). As such, teachers are inevitably in need of continuous professional education to update themselves with new knowledge, competence, and attitudes to meet all these challenges.</w:t>
      </w:r>
    </w:p>
    <w:p w:rsidR="008B61D1" w:rsidRPr="00D26E3C" w:rsidRDefault="008B61D1" w:rsidP="003111AF">
      <w:pPr>
        <w:autoSpaceDE w:val="0"/>
        <w:autoSpaceDN w:val="0"/>
        <w:adjustRightInd w:val="0"/>
        <w:spacing w:after="0" w:line="360" w:lineRule="auto"/>
        <w:ind w:firstLine="720"/>
        <w:jc w:val="both"/>
        <w:rPr>
          <w:rFonts w:ascii="Times New Roman" w:eastAsia="Calibri" w:hAnsi="Times New Roman" w:cs="Times New Roman"/>
          <w:sz w:val="20"/>
          <w:szCs w:val="24"/>
        </w:rPr>
      </w:pPr>
    </w:p>
    <w:p w:rsidR="00BF1A9E" w:rsidRDefault="00BF1A9E" w:rsidP="003111AF">
      <w:pPr>
        <w:autoSpaceDE w:val="0"/>
        <w:autoSpaceDN w:val="0"/>
        <w:adjustRightInd w:val="0"/>
        <w:spacing w:after="0" w:line="360" w:lineRule="auto"/>
        <w:ind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t xml:space="preserve">Hopkins (2000) and </w:t>
      </w:r>
      <w:proofErr w:type="spellStart"/>
      <w:r w:rsidRPr="00D26E3C">
        <w:rPr>
          <w:rFonts w:ascii="Times New Roman" w:eastAsia="Calibri" w:hAnsi="Times New Roman" w:cs="Times New Roman"/>
          <w:sz w:val="20"/>
          <w:szCs w:val="24"/>
        </w:rPr>
        <w:t>Sergiovanni</w:t>
      </w:r>
      <w:proofErr w:type="spellEnd"/>
      <w:r w:rsidRPr="00D26E3C">
        <w:rPr>
          <w:rFonts w:ascii="Times New Roman" w:eastAsia="Calibri" w:hAnsi="Times New Roman" w:cs="Times New Roman"/>
          <w:sz w:val="20"/>
          <w:szCs w:val="24"/>
        </w:rPr>
        <w:t xml:space="preserve"> (2000) cited that the teacher is the key element for the success of </w:t>
      </w:r>
      <w:proofErr w:type="spellStart"/>
      <w:r w:rsidRPr="00D26E3C">
        <w:rPr>
          <w:rFonts w:ascii="Times New Roman" w:eastAsia="Calibri" w:hAnsi="Times New Roman" w:cs="Times New Roman"/>
          <w:sz w:val="20"/>
          <w:szCs w:val="24"/>
        </w:rPr>
        <w:t>shool</w:t>
      </w:r>
      <w:proofErr w:type="spellEnd"/>
      <w:r w:rsidRPr="00D26E3C">
        <w:rPr>
          <w:rFonts w:ascii="Times New Roman" w:eastAsia="Calibri" w:hAnsi="Times New Roman" w:cs="Times New Roman"/>
          <w:sz w:val="20"/>
          <w:szCs w:val="24"/>
        </w:rPr>
        <w:t xml:space="preserve"> education. Policy-makers, teacher education institutions, and schools have implemented numerous initiatives in teacher education and development, aiming to improve teacher performance.</w:t>
      </w:r>
    </w:p>
    <w:p w:rsidR="008B61D1" w:rsidRPr="00D26E3C" w:rsidRDefault="008B61D1" w:rsidP="003111AF">
      <w:pPr>
        <w:autoSpaceDE w:val="0"/>
        <w:autoSpaceDN w:val="0"/>
        <w:adjustRightInd w:val="0"/>
        <w:spacing w:after="0" w:line="360" w:lineRule="auto"/>
        <w:ind w:firstLine="720"/>
        <w:jc w:val="both"/>
        <w:rPr>
          <w:rFonts w:ascii="Times New Roman" w:eastAsia="Calibri" w:hAnsi="Times New Roman" w:cs="Times New Roman"/>
          <w:sz w:val="20"/>
          <w:szCs w:val="24"/>
        </w:rPr>
      </w:pPr>
    </w:p>
    <w:p w:rsidR="00BF1A9E" w:rsidRDefault="00BF1A9E" w:rsidP="003111AF">
      <w:pPr>
        <w:autoSpaceDE w:val="0"/>
        <w:autoSpaceDN w:val="0"/>
        <w:adjustRightInd w:val="0"/>
        <w:spacing w:after="0" w:line="360" w:lineRule="auto"/>
        <w:ind w:firstLine="720"/>
        <w:jc w:val="both"/>
        <w:rPr>
          <w:rFonts w:ascii="Times New Roman" w:eastAsia="Calibri" w:hAnsi="Times New Roman" w:cs="Times New Roman"/>
          <w:sz w:val="20"/>
          <w:szCs w:val="24"/>
        </w:rPr>
      </w:pPr>
      <w:r w:rsidRPr="00D26E3C">
        <w:rPr>
          <w:rFonts w:ascii="Times New Roman" w:eastAsia="Calibri" w:hAnsi="Times New Roman" w:cs="Times New Roman"/>
          <w:sz w:val="20"/>
          <w:szCs w:val="24"/>
        </w:rPr>
        <w:lastRenderedPageBreak/>
        <w:t xml:space="preserve">To understand the complex nature of teacher effectiveness and develop an approach to maximizing it, there is a great demand for research on teaching, teachers, </w:t>
      </w:r>
      <w:proofErr w:type="gramStart"/>
      <w:r w:rsidRPr="00D26E3C">
        <w:rPr>
          <w:rFonts w:ascii="Times New Roman" w:eastAsia="Calibri" w:hAnsi="Times New Roman" w:cs="Times New Roman"/>
          <w:sz w:val="20"/>
          <w:szCs w:val="24"/>
        </w:rPr>
        <w:t>teacher</w:t>
      </w:r>
      <w:proofErr w:type="gramEnd"/>
      <w:r w:rsidRPr="00D26E3C">
        <w:rPr>
          <w:rFonts w:ascii="Times New Roman" w:eastAsia="Calibri" w:hAnsi="Times New Roman" w:cs="Times New Roman"/>
          <w:sz w:val="20"/>
          <w:szCs w:val="24"/>
        </w:rPr>
        <w:t xml:space="preserve"> education and on the related personnel, organizational, and contextual factors.</w:t>
      </w:r>
    </w:p>
    <w:p w:rsidR="008B61D1" w:rsidRPr="00D26E3C" w:rsidRDefault="008B61D1" w:rsidP="003111AF">
      <w:pPr>
        <w:autoSpaceDE w:val="0"/>
        <w:autoSpaceDN w:val="0"/>
        <w:adjustRightInd w:val="0"/>
        <w:spacing w:after="0" w:line="360" w:lineRule="auto"/>
        <w:ind w:firstLine="720"/>
        <w:jc w:val="both"/>
        <w:rPr>
          <w:rFonts w:ascii="Times New Roman" w:eastAsia="Calibri" w:hAnsi="Times New Roman" w:cs="Times New Roman"/>
          <w:sz w:val="20"/>
          <w:szCs w:val="24"/>
        </w:rPr>
      </w:pPr>
    </w:p>
    <w:p w:rsidR="00BF1A9E" w:rsidRDefault="00BF1A9E" w:rsidP="003111AF">
      <w:pPr>
        <w:autoSpaceDE w:val="0"/>
        <w:autoSpaceDN w:val="0"/>
        <w:adjustRightInd w:val="0"/>
        <w:spacing w:after="0" w:line="360" w:lineRule="auto"/>
        <w:ind w:firstLine="720"/>
        <w:jc w:val="both"/>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The availability and quality of physical resources is very important input relevant to educational efficiency and quality (ADB, 2011). In Asia the lack of appropriate laboratories, poor equipment and facilities have affected teaching-learning and research in the countries.</w:t>
      </w:r>
    </w:p>
    <w:p w:rsidR="008B61D1" w:rsidRPr="00D26E3C" w:rsidRDefault="008B61D1" w:rsidP="003111AF">
      <w:pPr>
        <w:autoSpaceDE w:val="0"/>
        <w:autoSpaceDN w:val="0"/>
        <w:adjustRightInd w:val="0"/>
        <w:spacing w:after="0" w:line="360" w:lineRule="auto"/>
        <w:ind w:firstLine="720"/>
        <w:jc w:val="both"/>
        <w:rPr>
          <w:rFonts w:ascii="Times New Roman" w:eastAsia="Calibri" w:hAnsi="Times New Roman" w:cs="Times New Roman"/>
          <w:color w:val="000000"/>
          <w:sz w:val="20"/>
          <w:szCs w:val="24"/>
        </w:rPr>
      </w:pPr>
    </w:p>
    <w:p w:rsidR="009C597E" w:rsidRDefault="00BF1A9E" w:rsidP="00EC0BF1">
      <w:pPr>
        <w:autoSpaceDE w:val="0"/>
        <w:autoSpaceDN w:val="0"/>
        <w:adjustRightInd w:val="0"/>
        <w:spacing w:after="0" w:line="360" w:lineRule="auto"/>
        <w:ind w:firstLine="720"/>
        <w:jc w:val="both"/>
        <w:rPr>
          <w:rFonts w:ascii="Times New Roman" w:eastAsia="Calibri" w:hAnsi="Times New Roman" w:cs="Times New Roman"/>
          <w:color w:val="000000"/>
          <w:sz w:val="20"/>
          <w:szCs w:val="24"/>
        </w:rPr>
      </w:pPr>
      <w:r w:rsidRPr="00D26E3C">
        <w:rPr>
          <w:rFonts w:ascii="Times New Roman" w:eastAsia="Calibri" w:hAnsi="Times New Roman" w:cs="Times New Roman"/>
          <w:color w:val="000000"/>
          <w:sz w:val="20"/>
          <w:szCs w:val="24"/>
        </w:rPr>
        <w:t xml:space="preserve">Teaching and research are important components in HEIs (ADB, 2011). </w:t>
      </w:r>
      <w:r w:rsidR="009C597E" w:rsidRPr="009C597E">
        <w:rPr>
          <w:rFonts w:ascii="Times New Roman" w:hAnsi="Times New Roman" w:cs="Times New Roman"/>
          <w:sz w:val="20"/>
          <w:szCs w:val="24"/>
        </w:rPr>
        <w:t>Professional development, incentive and rewards and unpreparedness to engage in research are common</w:t>
      </w:r>
      <w:r w:rsidR="009C597E" w:rsidRPr="009C597E">
        <w:rPr>
          <w:rFonts w:ascii="Times New Roman" w:hAnsi="Times New Roman" w:cs="Times New Roman"/>
          <w:color w:val="FF0000"/>
          <w:sz w:val="20"/>
          <w:szCs w:val="24"/>
        </w:rPr>
        <w:t xml:space="preserve"> </w:t>
      </w:r>
      <w:r w:rsidR="009C597E" w:rsidRPr="009C597E">
        <w:rPr>
          <w:rFonts w:ascii="Times New Roman" w:hAnsi="Times New Roman" w:cs="Times New Roman"/>
          <w:sz w:val="20"/>
          <w:szCs w:val="24"/>
        </w:rPr>
        <w:t>concerns that institutions undertake to prioritize teaching and research.</w:t>
      </w:r>
      <w:r w:rsidR="009C597E" w:rsidRPr="009C597E">
        <w:rPr>
          <w:sz w:val="20"/>
          <w:szCs w:val="24"/>
        </w:rPr>
        <w:t xml:space="preserve"> </w:t>
      </w:r>
      <w:r w:rsidRPr="00D26E3C">
        <w:rPr>
          <w:rFonts w:ascii="Times New Roman" w:eastAsia="Calibri" w:hAnsi="Times New Roman" w:cs="Times New Roman"/>
          <w:color w:val="000000"/>
          <w:sz w:val="20"/>
          <w:szCs w:val="24"/>
        </w:rPr>
        <w:t>The report highlighted the analysis of HEIs complex organization through systems approaches which include human and physical resources including academic staff and students and facilities and equipment and work activities of the institution including the nature and process of carrying out t</w:t>
      </w:r>
      <w:r w:rsidR="00EC0BF1">
        <w:rPr>
          <w:rFonts w:ascii="Times New Roman" w:eastAsia="Calibri" w:hAnsi="Times New Roman" w:cs="Times New Roman"/>
          <w:color w:val="000000"/>
          <w:sz w:val="20"/>
          <w:szCs w:val="24"/>
        </w:rPr>
        <w:t>eaching, research and extension.</w:t>
      </w:r>
    </w:p>
    <w:p w:rsidR="00F160AE" w:rsidRPr="005A29BB" w:rsidRDefault="00F160AE" w:rsidP="00F374AF">
      <w:pPr>
        <w:spacing w:after="0" w:line="240" w:lineRule="auto"/>
        <w:ind w:left="-540" w:firstLine="720"/>
        <w:jc w:val="both"/>
        <w:rPr>
          <w:rFonts w:ascii="Times New Roman" w:hAnsi="Times New Roman" w:cs="Times New Roman"/>
          <w:color w:val="000000"/>
          <w:sz w:val="20"/>
          <w:szCs w:val="24"/>
        </w:rPr>
      </w:pPr>
    </w:p>
    <w:p w:rsidR="00934CD3" w:rsidRPr="00EC0BF1" w:rsidRDefault="00F160AE" w:rsidP="00EC0BF1">
      <w:pPr>
        <w:pStyle w:val="ListParagraph"/>
        <w:numPr>
          <w:ilvl w:val="1"/>
          <w:numId w:val="11"/>
        </w:numPr>
        <w:autoSpaceDE w:val="0"/>
        <w:autoSpaceDN w:val="0"/>
        <w:adjustRightInd w:val="0"/>
        <w:ind w:left="360"/>
        <w:jc w:val="both"/>
        <w:rPr>
          <w:rFonts w:ascii="Times New Roman" w:hAnsi="Times New Roman" w:cs="Times New Roman"/>
          <w:b/>
          <w:sz w:val="20"/>
          <w:szCs w:val="20"/>
        </w:rPr>
      </w:pPr>
      <w:r w:rsidRPr="00EC0BF1">
        <w:rPr>
          <w:rFonts w:ascii="Times New Roman" w:hAnsi="Times New Roman" w:cs="Times New Roman"/>
          <w:b/>
          <w:sz w:val="20"/>
          <w:szCs w:val="20"/>
        </w:rPr>
        <w:t>Enhancement of the M &amp; E Tool As A Result of the Regression Analysis of the Level of C</w:t>
      </w:r>
      <w:r w:rsidR="009C597E" w:rsidRPr="00EC0BF1">
        <w:rPr>
          <w:rFonts w:ascii="Times New Roman" w:hAnsi="Times New Roman" w:cs="Times New Roman"/>
          <w:b/>
          <w:sz w:val="20"/>
          <w:szCs w:val="20"/>
        </w:rPr>
        <w:t>ompliance and Achievement</w:t>
      </w:r>
    </w:p>
    <w:p w:rsidR="00CE020B" w:rsidRPr="00EC0BF1" w:rsidRDefault="0073687C" w:rsidP="00F374AF">
      <w:pPr>
        <w:autoSpaceDE w:val="0"/>
        <w:autoSpaceDN w:val="0"/>
        <w:adjustRightInd w:val="0"/>
        <w:ind w:left="-540"/>
        <w:jc w:val="center"/>
        <w:rPr>
          <w:rFonts w:ascii="Times New Roman" w:hAnsi="Times New Roman" w:cs="Times New Roman"/>
          <w:sz w:val="20"/>
          <w:szCs w:val="20"/>
        </w:rPr>
      </w:pPr>
      <w:r w:rsidRPr="00EC0BF1">
        <w:rPr>
          <w:rFonts w:ascii="Times New Roman" w:hAnsi="Times New Roman" w:cs="Times New Roman"/>
          <w:sz w:val="20"/>
          <w:szCs w:val="20"/>
        </w:rPr>
        <w:t>Table 6</w:t>
      </w:r>
    </w:p>
    <w:p w:rsidR="00CE020B" w:rsidRPr="00EC0BF1" w:rsidRDefault="00CE020B" w:rsidP="00DC0C6A">
      <w:pPr>
        <w:autoSpaceDE w:val="0"/>
        <w:autoSpaceDN w:val="0"/>
        <w:adjustRightInd w:val="0"/>
        <w:spacing w:after="0" w:line="240" w:lineRule="auto"/>
        <w:ind w:left="90" w:firstLine="180"/>
        <w:jc w:val="center"/>
        <w:rPr>
          <w:rFonts w:ascii="Times New Roman" w:hAnsi="Times New Roman" w:cs="Times New Roman"/>
          <w:b/>
          <w:sz w:val="20"/>
          <w:szCs w:val="20"/>
        </w:rPr>
      </w:pPr>
      <w:r w:rsidRPr="00EC0BF1">
        <w:rPr>
          <w:rFonts w:ascii="Times New Roman" w:hAnsi="Times New Roman" w:cs="Times New Roman"/>
          <w:b/>
          <w:sz w:val="20"/>
          <w:szCs w:val="20"/>
        </w:rPr>
        <w:t xml:space="preserve">Computed Coefficients, t-values, Probability Values and Decision on the Regression Analysis Between the Level of Compliance and Achievement with Respect to Access of State Universities and Colleges Local Universities and Colleges and Private Higher Education Institutions </w:t>
      </w:r>
    </w:p>
    <w:p w:rsidR="00B46B19" w:rsidRPr="00CE020B" w:rsidRDefault="00B46B19" w:rsidP="00F374AF">
      <w:pPr>
        <w:autoSpaceDE w:val="0"/>
        <w:autoSpaceDN w:val="0"/>
        <w:adjustRightInd w:val="0"/>
        <w:spacing w:after="0" w:line="240" w:lineRule="auto"/>
        <w:ind w:left="-540"/>
        <w:jc w:val="center"/>
        <w:rPr>
          <w:rFonts w:ascii="Times New Roman" w:hAnsi="Times New Roman" w:cs="Times New Roman"/>
          <w:b/>
          <w:sz w:val="20"/>
          <w:szCs w:val="24"/>
        </w:rPr>
      </w:pPr>
    </w:p>
    <w:tbl>
      <w:tblPr>
        <w:tblW w:w="9272"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840"/>
        <w:gridCol w:w="810"/>
        <w:gridCol w:w="810"/>
        <w:gridCol w:w="990"/>
        <w:gridCol w:w="720"/>
        <w:gridCol w:w="720"/>
        <w:gridCol w:w="630"/>
        <w:gridCol w:w="720"/>
        <w:gridCol w:w="992"/>
      </w:tblGrid>
      <w:tr w:rsidR="00CE020B" w:rsidRPr="00D67A50" w:rsidTr="00934CD3">
        <w:trPr>
          <w:gridAfter w:val="1"/>
          <w:wAfter w:w="992" w:type="dxa"/>
          <w:cantSplit/>
        </w:trPr>
        <w:tc>
          <w:tcPr>
            <w:tcW w:w="2880" w:type="dxa"/>
            <w:gridSpan w:val="2"/>
            <w:vMerge w:val="restart"/>
            <w:tcBorders>
              <w:top w:val="single" w:sz="16" w:space="0" w:color="000000"/>
              <w:left w:val="single" w:sz="16" w:space="0" w:color="000000"/>
              <w:bottom w:val="nil"/>
              <w:right w:val="nil"/>
            </w:tcBorders>
            <w:shd w:val="clear" w:color="auto" w:fill="FFFFFF"/>
            <w:vAlign w:val="center"/>
          </w:tcPr>
          <w:p w:rsidR="00CE020B" w:rsidRPr="00CE020B" w:rsidRDefault="00CE020B" w:rsidP="00F374AF">
            <w:pPr>
              <w:ind w:left="-540"/>
              <w:jc w:val="center"/>
              <w:rPr>
                <w:rFonts w:ascii="Times New Roman" w:hAnsi="Times New Roman" w:cs="Times New Roman"/>
                <w:b/>
                <w:sz w:val="24"/>
                <w:szCs w:val="24"/>
              </w:rPr>
            </w:pPr>
            <w:r w:rsidRPr="00CE020B">
              <w:rPr>
                <w:rFonts w:ascii="Times New Roman" w:hAnsi="Times New Roman" w:cs="Times New Roman"/>
                <w:b/>
                <w:sz w:val="20"/>
                <w:szCs w:val="24"/>
              </w:rPr>
              <w:t>Model</w:t>
            </w:r>
          </w:p>
        </w:tc>
        <w:tc>
          <w:tcPr>
            <w:tcW w:w="1620" w:type="dxa"/>
            <w:gridSpan w:val="2"/>
            <w:tcBorders>
              <w:top w:val="single" w:sz="16" w:space="0" w:color="000000"/>
              <w:left w:val="single" w:sz="16" w:space="0" w:color="000000"/>
            </w:tcBorders>
            <w:shd w:val="clear" w:color="auto" w:fill="FFFFFF"/>
            <w:vAlign w:val="center"/>
          </w:tcPr>
          <w:p w:rsidR="00CE020B" w:rsidRPr="00CE020B" w:rsidRDefault="00CE020B" w:rsidP="00934CD3">
            <w:pPr>
              <w:jc w:val="center"/>
              <w:rPr>
                <w:rFonts w:ascii="Times New Roman" w:hAnsi="Times New Roman" w:cs="Times New Roman"/>
                <w:b/>
                <w:sz w:val="16"/>
                <w:szCs w:val="16"/>
              </w:rPr>
            </w:pPr>
            <w:r w:rsidRPr="00CE020B">
              <w:rPr>
                <w:rFonts w:ascii="Times New Roman" w:hAnsi="Times New Roman" w:cs="Times New Roman"/>
                <w:b/>
                <w:sz w:val="20"/>
                <w:szCs w:val="16"/>
              </w:rPr>
              <w:t>Unstandardized Coefficients</w:t>
            </w:r>
          </w:p>
        </w:tc>
        <w:tc>
          <w:tcPr>
            <w:tcW w:w="990" w:type="dxa"/>
            <w:tcBorders>
              <w:top w:val="single" w:sz="16" w:space="0" w:color="000000"/>
            </w:tcBorders>
            <w:shd w:val="clear" w:color="auto" w:fill="FFFFFF"/>
            <w:vAlign w:val="center"/>
          </w:tcPr>
          <w:p w:rsidR="00CE020B" w:rsidRPr="00CE020B" w:rsidRDefault="00CE020B" w:rsidP="00934CD3">
            <w:pPr>
              <w:jc w:val="center"/>
              <w:rPr>
                <w:rFonts w:ascii="Times New Roman" w:hAnsi="Times New Roman" w:cs="Times New Roman"/>
                <w:b/>
                <w:sz w:val="16"/>
                <w:szCs w:val="16"/>
              </w:rPr>
            </w:pPr>
            <w:r w:rsidRPr="00CE020B">
              <w:rPr>
                <w:rFonts w:ascii="Times New Roman" w:hAnsi="Times New Roman" w:cs="Times New Roman"/>
                <w:b/>
                <w:sz w:val="16"/>
                <w:szCs w:val="16"/>
              </w:rPr>
              <w:t>Standardized Coefficients</w:t>
            </w:r>
          </w:p>
        </w:tc>
        <w:tc>
          <w:tcPr>
            <w:tcW w:w="720" w:type="dxa"/>
            <w:tcBorders>
              <w:top w:val="single" w:sz="16" w:space="0" w:color="000000"/>
            </w:tcBorders>
            <w:shd w:val="clear" w:color="auto" w:fill="FFFFFF"/>
            <w:vAlign w:val="center"/>
          </w:tcPr>
          <w:p w:rsidR="00CE020B" w:rsidRPr="00CE020B" w:rsidRDefault="00CE020B" w:rsidP="00934CD3">
            <w:pPr>
              <w:ind w:left="90"/>
              <w:jc w:val="center"/>
              <w:rPr>
                <w:rFonts w:ascii="Times New Roman" w:hAnsi="Times New Roman" w:cs="Times New Roman"/>
                <w:b/>
                <w:sz w:val="20"/>
                <w:szCs w:val="24"/>
              </w:rPr>
            </w:pPr>
            <w:r w:rsidRPr="00CE020B">
              <w:rPr>
                <w:rFonts w:ascii="Times New Roman" w:hAnsi="Times New Roman" w:cs="Times New Roman"/>
                <w:b/>
                <w:sz w:val="20"/>
                <w:szCs w:val="24"/>
              </w:rPr>
              <w:t>t</w:t>
            </w:r>
          </w:p>
        </w:tc>
        <w:tc>
          <w:tcPr>
            <w:tcW w:w="720" w:type="dxa"/>
            <w:tcBorders>
              <w:top w:val="single" w:sz="16" w:space="0" w:color="000000"/>
              <w:right w:val="single" w:sz="16" w:space="0" w:color="000000"/>
            </w:tcBorders>
            <w:shd w:val="clear" w:color="auto" w:fill="FFFFFF"/>
            <w:vAlign w:val="center"/>
          </w:tcPr>
          <w:p w:rsidR="00CE020B" w:rsidRPr="00CE020B" w:rsidRDefault="00CE020B" w:rsidP="00934CD3">
            <w:pPr>
              <w:jc w:val="center"/>
              <w:rPr>
                <w:rFonts w:ascii="Times New Roman" w:hAnsi="Times New Roman" w:cs="Times New Roman"/>
                <w:b/>
                <w:sz w:val="20"/>
                <w:szCs w:val="24"/>
              </w:rPr>
            </w:pPr>
            <w:r w:rsidRPr="00CE020B">
              <w:rPr>
                <w:rFonts w:ascii="Times New Roman" w:hAnsi="Times New Roman" w:cs="Times New Roman"/>
                <w:b/>
                <w:sz w:val="20"/>
                <w:szCs w:val="24"/>
              </w:rPr>
              <w:t>Sig.</w:t>
            </w:r>
          </w:p>
        </w:tc>
        <w:tc>
          <w:tcPr>
            <w:tcW w:w="630" w:type="dxa"/>
            <w:tcBorders>
              <w:top w:val="single" w:sz="16" w:space="0" w:color="000000"/>
              <w:right w:val="single" w:sz="16" w:space="0" w:color="000000"/>
            </w:tcBorders>
            <w:shd w:val="clear" w:color="auto" w:fill="FFFFFF"/>
            <w:vAlign w:val="center"/>
          </w:tcPr>
          <w:p w:rsidR="00CE020B" w:rsidRPr="00CE020B" w:rsidRDefault="00CE020B" w:rsidP="00934CD3">
            <w:pPr>
              <w:jc w:val="center"/>
              <w:rPr>
                <w:rFonts w:ascii="Times New Roman" w:hAnsi="Times New Roman" w:cs="Times New Roman"/>
                <w:b/>
                <w:sz w:val="20"/>
                <w:szCs w:val="24"/>
              </w:rPr>
            </w:pPr>
            <w:r w:rsidRPr="00CE020B">
              <w:rPr>
                <w:rFonts w:ascii="Times New Roman" w:hAnsi="Times New Roman" w:cs="Times New Roman"/>
                <w:b/>
                <w:sz w:val="20"/>
                <w:szCs w:val="24"/>
              </w:rPr>
              <w:t>Ho</w:t>
            </w:r>
          </w:p>
        </w:tc>
        <w:tc>
          <w:tcPr>
            <w:tcW w:w="720" w:type="dxa"/>
            <w:tcBorders>
              <w:top w:val="single" w:sz="16" w:space="0" w:color="000000"/>
              <w:right w:val="single" w:sz="16" w:space="0" w:color="000000"/>
            </w:tcBorders>
            <w:shd w:val="clear" w:color="auto" w:fill="FFFFFF"/>
            <w:vAlign w:val="center"/>
          </w:tcPr>
          <w:p w:rsidR="00CE020B" w:rsidRPr="00CE020B" w:rsidRDefault="00CE020B" w:rsidP="00934CD3">
            <w:pPr>
              <w:jc w:val="center"/>
              <w:rPr>
                <w:rFonts w:ascii="Times New Roman" w:hAnsi="Times New Roman" w:cs="Times New Roman"/>
                <w:b/>
                <w:sz w:val="20"/>
                <w:szCs w:val="24"/>
              </w:rPr>
            </w:pPr>
            <w:r w:rsidRPr="00CE020B">
              <w:rPr>
                <w:rFonts w:ascii="Times New Roman" w:hAnsi="Times New Roman" w:cs="Times New Roman"/>
                <w:b/>
                <w:sz w:val="20"/>
                <w:szCs w:val="24"/>
              </w:rPr>
              <w:t>VI</w:t>
            </w:r>
          </w:p>
        </w:tc>
      </w:tr>
      <w:tr w:rsidR="00CE020B" w:rsidRPr="00D67A50" w:rsidTr="00934CD3">
        <w:trPr>
          <w:gridAfter w:val="1"/>
          <w:wAfter w:w="992" w:type="dxa"/>
          <w:cantSplit/>
        </w:trPr>
        <w:tc>
          <w:tcPr>
            <w:tcW w:w="2880" w:type="dxa"/>
            <w:gridSpan w:val="2"/>
            <w:vMerge/>
            <w:tcBorders>
              <w:top w:val="single" w:sz="16" w:space="0" w:color="000000"/>
              <w:left w:val="single" w:sz="16" w:space="0" w:color="000000"/>
              <w:bottom w:val="nil"/>
              <w:right w:val="nil"/>
            </w:tcBorders>
            <w:shd w:val="clear" w:color="auto" w:fill="FFFFFF"/>
          </w:tcPr>
          <w:p w:rsidR="00CE020B" w:rsidRPr="00D67A50" w:rsidRDefault="00CE020B" w:rsidP="00F374AF">
            <w:pPr>
              <w:ind w:left="-540"/>
              <w:rPr>
                <w:b/>
                <w:sz w:val="24"/>
                <w:szCs w:val="24"/>
              </w:rPr>
            </w:pPr>
          </w:p>
        </w:tc>
        <w:tc>
          <w:tcPr>
            <w:tcW w:w="810" w:type="dxa"/>
            <w:tcBorders>
              <w:left w:val="single" w:sz="16" w:space="0" w:color="000000"/>
              <w:bottom w:val="single" w:sz="16" w:space="0" w:color="000000"/>
            </w:tcBorders>
            <w:shd w:val="clear" w:color="auto" w:fill="FFFFFF"/>
            <w:vAlign w:val="center"/>
          </w:tcPr>
          <w:p w:rsidR="00CE020B" w:rsidRPr="00CE020B" w:rsidRDefault="00CE020B" w:rsidP="00934CD3">
            <w:pPr>
              <w:jc w:val="center"/>
              <w:rPr>
                <w:rFonts w:ascii="Times New Roman" w:hAnsi="Times New Roman" w:cs="Times New Roman"/>
                <w:b/>
                <w:sz w:val="20"/>
                <w:szCs w:val="24"/>
              </w:rPr>
            </w:pPr>
            <w:r w:rsidRPr="00CE020B">
              <w:rPr>
                <w:rFonts w:ascii="Times New Roman" w:hAnsi="Times New Roman" w:cs="Times New Roman"/>
                <w:b/>
                <w:sz w:val="20"/>
                <w:szCs w:val="24"/>
              </w:rPr>
              <w:t>B</w:t>
            </w:r>
          </w:p>
        </w:tc>
        <w:tc>
          <w:tcPr>
            <w:tcW w:w="810" w:type="dxa"/>
            <w:tcBorders>
              <w:bottom w:val="single" w:sz="16" w:space="0" w:color="000000"/>
            </w:tcBorders>
            <w:shd w:val="clear" w:color="auto" w:fill="FFFFFF"/>
            <w:vAlign w:val="center"/>
          </w:tcPr>
          <w:p w:rsidR="00CE020B" w:rsidRPr="00CE020B" w:rsidRDefault="00CE020B" w:rsidP="00934CD3">
            <w:pPr>
              <w:jc w:val="center"/>
              <w:rPr>
                <w:rFonts w:ascii="Times New Roman" w:hAnsi="Times New Roman" w:cs="Times New Roman"/>
                <w:b/>
                <w:sz w:val="20"/>
                <w:szCs w:val="24"/>
              </w:rPr>
            </w:pPr>
            <w:r w:rsidRPr="00CE020B">
              <w:rPr>
                <w:rFonts w:ascii="Times New Roman" w:hAnsi="Times New Roman" w:cs="Times New Roman"/>
                <w:b/>
                <w:sz w:val="20"/>
                <w:szCs w:val="24"/>
              </w:rPr>
              <w:t>Std. Error</w:t>
            </w:r>
          </w:p>
        </w:tc>
        <w:tc>
          <w:tcPr>
            <w:tcW w:w="990" w:type="dxa"/>
            <w:tcBorders>
              <w:bottom w:val="single" w:sz="16" w:space="0" w:color="000000"/>
            </w:tcBorders>
            <w:shd w:val="clear" w:color="auto" w:fill="FFFFFF"/>
            <w:vAlign w:val="center"/>
          </w:tcPr>
          <w:p w:rsidR="00CE020B" w:rsidRPr="00CE020B" w:rsidRDefault="00CE020B" w:rsidP="00934CD3">
            <w:pPr>
              <w:jc w:val="center"/>
              <w:rPr>
                <w:rFonts w:ascii="Times New Roman" w:hAnsi="Times New Roman" w:cs="Times New Roman"/>
                <w:b/>
                <w:sz w:val="20"/>
                <w:szCs w:val="24"/>
              </w:rPr>
            </w:pPr>
            <w:r w:rsidRPr="00CE020B">
              <w:rPr>
                <w:rFonts w:ascii="Times New Roman" w:hAnsi="Times New Roman" w:cs="Times New Roman"/>
                <w:b/>
                <w:sz w:val="20"/>
                <w:szCs w:val="24"/>
              </w:rPr>
              <w:t>Beta</w:t>
            </w:r>
          </w:p>
        </w:tc>
        <w:tc>
          <w:tcPr>
            <w:tcW w:w="720" w:type="dxa"/>
            <w:tcBorders>
              <w:top w:val="single" w:sz="16" w:space="0" w:color="000000"/>
            </w:tcBorders>
            <w:shd w:val="clear" w:color="auto" w:fill="FFFFFF"/>
          </w:tcPr>
          <w:p w:rsidR="00CE020B" w:rsidRPr="00D67A50" w:rsidRDefault="00CE020B" w:rsidP="00934CD3">
            <w:pPr>
              <w:rPr>
                <w:sz w:val="24"/>
                <w:szCs w:val="24"/>
              </w:rPr>
            </w:pPr>
          </w:p>
        </w:tc>
        <w:tc>
          <w:tcPr>
            <w:tcW w:w="720" w:type="dxa"/>
            <w:tcBorders>
              <w:top w:val="single" w:sz="16" w:space="0" w:color="000000"/>
              <w:right w:val="single" w:sz="16" w:space="0" w:color="000000"/>
            </w:tcBorders>
            <w:shd w:val="clear" w:color="auto" w:fill="FFFFFF"/>
          </w:tcPr>
          <w:p w:rsidR="00CE020B" w:rsidRPr="00D67A50" w:rsidRDefault="00CE020B" w:rsidP="00F374AF">
            <w:pPr>
              <w:ind w:left="-540"/>
              <w:rPr>
                <w:sz w:val="24"/>
                <w:szCs w:val="24"/>
              </w:rPr>
            </w:pPr>
          </w:p>
        </w:tc>
        <w:tc>
          <w:tcPr>
            <w:tcW w:w="630" w:type="dxa"/>
            <w:tcBorders>
              <w:right w:val="single" w:sz="16" w:space="0" w:color="000000"/>
            </w:tcBorders>
            <w:shd w:val="clear" w:color="auto" w:fill="FFFFFF"/>
          </w:tcPr>
          <w:p w:rsidR="00CE020B" w:rsidRPr="00D67A50" w:rsidRDefault="00CE020B" w:rsidP="00F374AF">
            <w:pPr>
              <w:ind w:left="-540"/>
              <w:rPr>
                <w:sz w:val="24"/>
                <w:szCs w:val="24"/>
              </w:rPr>
            </w:pPr>
          </w:p>
        </w:tc>
        <w:tc>
          <w:tcPr>
            <w:tcW w:w="720" w:type="dxa"/>
            <w:tcBorders>
              <w:right w:val="single" w:sz="16" w:space="0" w:color="000000"/>
            </w:tcBorders>
            <w:shd w:val="clear" w:color="auto" w:fill="FFFFFF"/>
          </w:tcPr>
          <w:p w:rsidR="00CE020B" w:rsidRPr="00D67A50" w:rsidRDefault="00CE020B" w:rsidP="00F374AF">
            <w:pPr>
              <w:ind w:left="-540"/>
              <w:rPr>
                <w:sz w:val="24"/>
                <w:szCs w:val="24"/>
              </w:rPr>
            </w:pPr>
          </w:p>
        </w:tc>
      </w:tr>
      <w:tr w:rsidR="00CE020B" w:rsidRPr="00D67A50" w:rsidTr="00934CD3">
        <w:trPr>
          <w:gridAfter w:val="1"/>
          <w:wAfter w:w="992" w:type="dxa"/>
          <w:cantSplit/>
          <w:trHeight w:val="275"/>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CE020B" w:rsidRPr="00D67A50" w:rsidRDefault="00CE020B" w:rsidP="00F374AF">
            <w:pPr>
              <w:ind w:left="-540"/>
              <w:rPr>
                <w:sz w:val="24"/>
                <w:szCs w:val="24"/>
              </w:rPr>
            </w:pPr>
          </w:p>
        </w:tc>
        <w:tc>
          <w:tcPr>
            <w:tcW w:w="2840" w:type="dxa"/>
            <w:tcBorders>
              <w:top w:val="single" w:sz="16" w:space="0" w:color="000000"/>
              <w:left w:val="nil"/>
              <w:bottom w:val="nil"/>
              <w:right w:val="single" w:sz="16" w:space="0" w:color="000000"/>
            </w:tcBorders>
            <w:shd w:val="clear" w:color="auto" w:fill="FFFFFF"/>
            <w:vAlign w:val="center"/>
          </w:tcPr>
          <w:p w:rsidR="00CE020B" w:rsidRPr="009B2C42" w:rsidRDefault="00CE020B" w:rsidP="00934CD3">
            <w:pPr>
              <w:rPr>
                <w:rFonts w:ascii="Times New Roman" w:hAnsi="Times New Roman" w:cs="Times New Roman"/>
                <w:sz w:val="20"/>
                <w:szCs w:val="20"/>
              </w:rPr>
            </w:pPr>
            <w:r w:rsidRPr="009B2C42">
              <w:rPr>
                <w:rFonts w:ascii="Times New Roman" w:hAnsi="Times New Roman" w:cs="Times New Roman"/>
                <w:sz w:val="20"/>
                <w:szCs w:val="20"/>
              </w:rPr>
              <w:t>(Constant)</w:t>
            </w:r>
          </w:p>
        </w:tc>
        <w:tc>
          <w:tcPr>
            <w:tcW w:w="810" w:type="dxa"/>
            <w:tcBorders>
              <w:top w:val="single" w:sz="16" w:space="0" w:color="000000"/>
              <w:left w:val="single" w:sz="16" w:space="0" w:color="000000"/>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1.884</w:t>
            </w:r>
          </w:p>
        </w:tc>
        <w:tc>
          <w:tcPr>
            <w:tcW w:w="810" w:type="dxa"/>
            <w:tcBorders>
              <w:top w:val="single" w:sz="16" w:space="0" w:color="000000"/>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.292</w:t>
            </w:r>
          </w:p>
        </w:tc>
        <w:tc>
          <w:tcPr>
            <w:tcW w:w="990" w:type="dxa"/>
            <w:tcBorders>
              <w:top w:val="single" w:sz="16" w:space="0" w:color="000000"/>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p>
        </w:tc>
        <w:tc>
          <w:tcPr>
            <w:tcW w:w="720" w:type="dxa"/>
            <w:tcBorders>
              <w:top w:val="single" w:sz="16" w:space="0" w:color="000000"/>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6.446</w:t>
            </w:r>
          </w:p>
        </w:tc>
        <w:tc>
          <w:tcPr>
            <w:tcW w:w="720" w:type="dxa"/>
            <w:tcBorders>
              <w:top w:val="single" w:sz="16" w:space="0" w:color="000000"/>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.000</w:t>
            </w:r>
          </w:p>
        </w:tc>
        <w:tc>
          <w:tcPr>
            <w:tcW w:w="630" w:type="dxa"/>
            <w:tcBorders>
              <w:top w:val="single" w:sz="16" w:space="0" w:color="000000"/>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R</w:t>
            </w:r>
          </w:p>
        </w:tc>
        <w:tc>
          <w:tcPr>
            <w:tcW w:w="720" w:type="dxa"/>
            <w:tcBorders>
              <w:top w:val="single" w:sz="16" w:space="0" w:color="000000"/>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S</w:t>
            </w:r>
          </w:p>
        </w:tc>
      </w:tr>
      <w:tr w:rsidR="00CE020B" w:rsidRPr="00D67A50" w:rsidTr="00934CD3">
        <w:trPr>
          <w:gridAfter w:val="1"/>
          <w:wAfter w:w="992"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CE020B" w:rsidRPr="00D67A50" w:rsidRDefault="00CE020B" w:rsidP="00F374AF">
            <w:pPr>
              <w:ind w:left="-540"/>
              <w:rPr>
                <w:sz w:val="24"/>
                <w:szCs w:val="24"/>
              </w:rPr>
            </w:pPr>
          </w:p>
        </w:tc>
        <w:tc>
          <w:tcPr>
            <w:tcW w:w="2840" w:type="dxa"/>
            <w:tcBorders>
              <w:top w:val="nil"/>
              <w:left w:val="nil"/>
              <w:bottom w:val="nil"/>
              <w:right w:val="single" w:sz="16" w:space="0" w:color="000000"/>
            </w:tcBorders>
            <w:shd w:val="clear" w:color="auto" w:fill="FFFFFF"/>
            <w:vAlign w:val="center"/>
          </w:tcPr>
          <w:p w:rsidR="00CE020B" w:rsidRPr="009B2C42" w:rsidRDefault="00CE020B" w:rsidP="00934CD3">
            <w:pPr>
              <w:rPr>
                <w:rFonts w:ascii="Times New Roman" w:hAnsi="Times New Roman" w:cs="Times New Roman"/>
                <w:sz w:val="20"/>
                <w:szCs w:val="20"/>
              </w:rPr>
            </w:pPr>
            <w:r w:rsidRPr="009B2C42">
              <w:rPr>
                <w:rFonts w:ascii="Times New Roman" w:hAnsi="Times New Roman" w:cs="Times New Roman"/>
                <w:sz w:val="20"/>
                <w:szCs w:val="20"/>
              </w:rPr>
              <w:t>A. Governance &amp; Management</w:t>
            </w:r>
          </w:p>
        </w:tc>
        <w:tc>
          <w:tcPr>
            <w:tcW w:w="810" w:type="dxa"/>
            <w:tcBorders>
              <w:top w:val="nil"/>
              <w:left w:val="single" w:sz="16" w:space="0" w:color="000000"/>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.110</w:t>
            </w:r>
          </w:p>
        </w:tc>
        <w:tc>
          <w:tcPr>
            <w:tcW w:w="81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.083</w:t>
            </w:r>
          </w:p>
        </w:tc>
        <w:tc>
          <w:tcPr>
            <w:tcW w:w="99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.101</w:t>
            </w:r>
          </w:p>
        </w:tc>
        <w:tc>
          <w:tcPr>
            <w:tcW w:w="72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1.320</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.188</w:t>
            </w:r>
          </w:p>
        </w:tc>
        <w:tc>
          <w:tcPr>
            <w:tcW w:w="63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FR</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NS</w:t>
            </w:r>
          </w:p>
        </w:tc>
      </w:tr>
      <w:tr w:rsidR="00CE020B" w:rsidRPr="00D67A50" w:rsidTr="00934CD3">
        <w:trPr>
          <w:gridAfter w:val="1"/>
          <w:wAfter w:w="992"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CE020B" w:rsidRPr="00D67A50" w:rsidRDefault="00CE020B" w:rsidP="00F374AF">
            <w:pPr>
              <w:ind w:left="-540"/>
              <w:rPr>
                <w:sz w:val="24"/>
                <w:szCs w:val="24"/>
              </w:rPr>
            </w:pPr>
          </w:p>
        </w:tc>
        <w:tc>
          <w:tcPr>
            <w:tcW w:w="2840" w:type="dxa"/>
            <w:tcBorders>
              <w:top w:val="nil"/>
              <w:left w:val="nil"/>
              <w:bottom w:val="nil"/>
              <w:right w:val="single" w:sz="16" w:space="0" w:color="000000"/>
            </w:tcBorders>
            <w:shd w:val="clear" w:color="auto" w:fill="FFFFFF"/>
            <w:vAlign w:val="center"/>
          </w:tcPr>
          <w:p w:rsidR="00CE020B" w:rsidRPr="009B2C42" w:rsidRDefault="00CE020B" w:rsidP="00934CD3">
            <w:pPr>
              <w:rPr>
                <w:rFonts w:ascii="Times New Roman" w:hAnsi="Times New Roman" w:cs="Times New Roman"/>
                <w:sz w:val="20"/>
                <w:szCs w:val="20"/>
              </w:rPr>
            </w:pPr>
            <w:r w:rsidRPr="009B2C42">
              <w:rPr>
                <w:rFonts w:ascii="Times New Roman" w:hAnsi="Times New Roman" w:cs="Times New Roman"/>
                <w:sz w:val="20"/>
                <w:szCs w:val="20"/>
              </w:rPr>
              <w:t>B. Quality of Teaching and Research Faculty</w:t>
            </w:r>
          </w:p>
        </w:tc>
        <w:tc>
          <w:tcPr>
            <w:tcW w:w="810" w:type="dxa"/>
            <w:tcBorders>
              <w:top w:val="nil"/>
              <w:left w:val="single" w:sz="16" w:space="0" w:color="000000"/>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.063</w:t>
            </w:r>
          </w:p>
        </w:tc>
        <w:tc>
          <w:tcPr>
            <w:tcW w:w="81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.111</w:t>
            </w:r>
          </w:p>
        </w:tc>
        <w:tc>
          <w:tcPr>
            <w:tcW w:w="99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.052</w:t>
            </w:r>
          </w:p>
        </w:tc>
        <w:tc>
          <w:tcPr>
            <w:tcW w:w="72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.570</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.569</w:t>
            </w:r>
          </w:p>
        </w:tc>
        <w:tc>
          <w:tcPr>
            <w:tcW w:w="63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FR</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NS</w:t>
            </w:r>
          </w:p>
        </w:tc>
      </w:tr>
      <w:tr w:rsidR="00CE020B" w:rsidRPr="00D67A50" w:rsidTr="00934CD3">
        <w:trPr>
          <w:gridAfter w:val="1"/>
          <w:wAfter w:w="992"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CE020B" w:rsidRPr="00D67A50" w:rsidRDefault="00CE020B" w:rsidP="00F374AF">
            <w:pPr>
              <w:ind w:left="-540"/>
              <w:rPr>
                <w:sz w:val="24"/>
                <w:szCs w:val="24"/>
              </w:rPr>
            </w:pPr>
          </w:p>
        </w:tc>
        <w:tc>
          <w:tcPr>
            <w:tcW w:w="2840" w:type="dxa"/>
            <w:tcBorders>
              <w:top w:val="nil"/>
              <w:left w:val="nil"/>
              <w:bottom w:val="nil"/>
              <w:right w:val="single" w:sz="16" w:space="0" w:color="000000"/>
            </w:tcBorders>
            <w:shd w:val="clear" w:color="auto" w:fill="FFFFFF"/>
            <w:vAlign w:val="center"/>
          </w:tcPr>
          <w:p w:rsidR="00CE020B" w:rsidRPr="009B2C42" w:rsidRDefault="00CE020B" w:rsidP="00934CD3">
            <w:pPr>
              <w:rPr>
                <w:rFonts w:ascii="Times New Roman" w:hAnsi="Times New Roman" w:cs="Times New Roman"/>
                <w:sz w:val="20"/>
                <w:szCs w:val="20"/>
              </w:rPr>
            </w:pPr>
            <w:r w:rsidRPr="009B2C42">
              <w:rPr>
                <w:rFonts w:ascii="Times New Roman" w:hAnsi="Times New Roman" w:cs="Times New Roman"/>
                <w:sz w:val="20"/>
                <w:szCs w:val="20"/>
              </w:rPr>
              <w:t>C. Curriculum</w:t>
            </w:r>
          </w:p>
        </w:tc>
        <w:tc>
          <w:tcPr>
            <w:tcW w:w="810" w:type="dxa"/>
            <w:tcBorders>
              <w:top w:val="nil"/>
              <w:left w:val="single" w:sz="16" w:space="0" w:color="000000"/>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-.066</w:t>
            </w:r>
          </w:p>
        </w:tc>
        <w:tc>
          <w:tcPr>
            <w:tcW w:w="81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.109</w:t>
            </w:r>
          </w:p>
        </w:tc>
        <w:tc>
          <w:tcPr>
            <w:tcW w:w="99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-.059</w:t>
            </w:r>
          </w:p>
        </w:tc>
        <w:tc>
          <w:tcPr>
            <w:tcW w:w="72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-.600</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.549</w:t>
            </w:r>
          </w:p>
        </w:tc>
        <w:tc>
          <w:tcPr>
            <w:tcW w:w="63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FR</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NS</w:t>
            </w:r>
          </w:p>
        </w:tc>
      </w:tr>
      <w:tr w:rsidR="00CE020B" w:rsidRPr="00D67A50" w:rsidTr="00934CD3">
        <w:trPr>
          <w:gridAfter w:val="1"/>
          <w:wAfter w:w="992"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CE020B" w:rsidRPr="00D67A50" w:rsidRDefault="00CE020B" w:rsidP="00F374AF">
            <w:pPr>
              <w:ind w:left="-540"/>
              <w:rPr>
                <w:sz w:val="24"/>
                <w:szCs w:val="24"/>
              </w:rPr>
            </w:pPr>
          </w:p>
        </w:tc>
        <w:tc>
          <w:tcPr>
            <w:tcW w:w="2840" w:type="dxa"/>
            <w:tcBorders>
              <w:top w:val="nil"/>
              <w:left w:val="nil"/>
              <w:bottom w:val="nil"/>
              <w:right w:val="single" w:sz="16" w:space="0" w:color="000000"/>
            </w:tcBorders>
            <w:shd w:val="clear" w:color="auto" w:fill="FFFFFF"/>
            <w:vAlign w:val="center"/>
          </w:tcPr>
          <w:p w:rsidR="00CE020B" w:rsidRPr="009B2C42" w:rsidRDefault="00CE020B" w:rsidP="00934CD3">
            <w:pPr>
              <w:rPr>
                <w:rFonts w:ascii="Times New Roman" w:hAnsi="Times New Roman" w:cs="Times New Roman"/>
                <w:sz w:val="20"/>
                <w:szCs w:val="20"/>
              </w:rPr>
            </w:pPr>
            <w:r w:rsidRPr="009B2C42">
              <w:rPr>
                <w:rFonts w:ascii="Times New Roman" w:hAnsi="Times New Roman" w:cs="Times New Roman"/>
                <w:sz w:val="20"/>
                <w:szCs w:val="20"/>
              </w:rPr>
              <w:t>D. Student Services</w:t>
            </w:r>
          </w:p>
        </w:tc>
        <w:tc>
          <w:tcPr>
            <w:tcW w:w="810" w:type="dxa"/>
            <w:tcBorders>
              <w:top w:val="nil"/>
              <w:left w:val="single" w:sz="16" w:space="0" w:color="000000"/>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.216</w:t>
            </w:r>
          </w:p>
        </w:tc>
        <w:tc>
          <w:tcPr>
            <w:tcW w:w="81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.104</w:t>
            </w:r>
          </w:p>
        </w:tc>
        <w:tc>
          <w:tcPr>
            <w:tcW w:w="99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.185</w:t>
            </w:r>
          </w:p>
        </w:tc>
        <w:tc>
          <w:tcPr>
            <w:tcW w:w="72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2.081</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.039</w:t>
            </w:r>
          </w:p>
        </w:tc>
        <w:tc>
          <w:tcPr>
            <w:tcW w:w="63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R</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S</w:t>
            </w:r>
          </w:p>
        </w:tc>
      </w:tr>
      <w:tr w:rsidR="00CE020B" w:rsidRPr="00D67A50" w:rsidTr="00934CD3">
        <w:trPr>
          <w:gridAfter w:val="1"/>
          <w:wAfter w:w="992"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CE020B" w:rsidRPr="00D67A50" w:rsidRDefault="00CE020B" w:rsidP="00F374AF">
            <w:pPr>
              <w:ind w:left="-540"/>
              <w:rPr>
                <w:sz w:val="24"/>
                <w:szCs w:val="24"/>
              </w:rPr>
            </w:pPr>
          </w:p>
        </w:tc>
        <w:tc>
          <w:tcPr>
            <w:tcW w:w="2840" w:type="dxa"/>
            <w:tcBorders>
              <w:top w:val="nil"/>
              <w:left w:val="nil"/>
              <w:bottom w:val="nil"/>
              <w:right w:val="single" w:sz="16" w:space="0" w:color="000000"/>
            </w:tcBorders>
            <w:shd w:val="clear" w:color="auto" w:fill="FFFFFF"/>
            <w:vAlign w:val="center"/>
          </w:tcPr>
          <w:p w:rsidR="00CE020B" w:rsidRPr="009B2C42" w:rsidRDefault="00CE020B" w:rsidP="00934CD3">
            <w:pPr>
              <w:rPr>
                <w:rFonts w:ascii="Times New Roman" w:hAnsi="Times New Roman" w:cs="Times New Roman"/>
                <w:sz w:val="20"/>
                <w:szCs w:val="20"/>
              </w:rPr>
            </w:pPr>
            <w:r w:rsidRPr="009B2C42">
              <w:rPr>
                <w:rFonts w:ascii="Times New Roman" w:hAnsi="Times New Roman" w:cs="Times New Roman"/>
                <w:sz w:val="20"/>
                <w:szCs w:val="20"/>
              </w:rPr>
              <w:t>E. Community Extension/Outreach</w:t>
            </w:r>
          </w:p>
        </w:tc>
        <w:tc>
          <w:tcPr>
            <w:tcW w:w="810" w:type="dxa"/>
            <w:tcBorders>
              <w:top w:val="nil"/>
              <w:left w:val="single" w:sz="16" w:space="0" w:color="000000"/>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.043</w:t>
            </w:r>
          </w:p>
        </w:tc>
        <w:tc>
          <w:tcPr>
            <w:tcW w:w="81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.101</w:t>
            </w:r>
          </w:p>
        </w:tc>
        <w:tc>
          <w:tcPr>
            <w:tcW w:w="99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.041</w:t>
            </w:r>
          </w:p>
        </w:tc>
        <w:tc>
          <w:tcPr>
            <w:tcW w:w="720" w:type="dxa"/>
            <w:tcBorders>
              <w:top w:val="nil"/>
              <w:bottom w:val="nil"/>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.430</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.667</w:t>
            </w:r>
          </w:p>
        </w:tc>
        <w:tc>
          <w:tcPr>
            <w:tcW w:w="63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FR</w:t>
            </w:r>
          </w:p>
        </w:tc>
        <w:tc>
          <w:tcPr>
            <w:tcW w:w="720" w:type="dxa"/>
            <w:tcBorders>
              <w:top w:val="nil"/>
              <w:bottom w:val="nil"/>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NS</w:t>
            </w:r>
          </w:p>
        </w:tc>
      </w:tr>
      <w:tr w:rsidR="00CE020B" w:rsidRPr="00D67A50" w:rsidTr="00934CD3">
        <w:trPr>
          <w:gridAfter w:val="1"/>
          <w:wAfter w:w="992" w:type="dxa"/>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CE020B" w:rsidRPr="00D67A50" w:rsidRDefault="00CE020B" w:rsidP="00F374AF">
            <w:pPr>
              <w:ind w:left="-540"/>
              <w:rPr>
                <w:sz w:val="24"/>
                <w:szCs w:val="24"/>
              </w:rPr>
            </w:pPr>
          </w:p>
        </w:tc>
        <w:tc>
          <w:tcPr>
            <w:tcW w:w="2840" w:type="dxa"/>
            <w:tcBorders>
              <w:top w:val="nil"/>
              <w:left w:val="nil"/>
              <w:bottom w:val="single" w:sz="16" w:space="0" w:color="000000"/>
              <w:right w:val="single" w:sz="16" w:space="0" w:color="000000"/>
            </w:tcBorders>
            <w:shd w:val="clear" w:color="auto" w:fill="FFFFFF"/>
            <w:vAlign w:val="center"/>
          </w:tcPr>
          <w:p w:rsidR="00CE020B" w:rsidRPr="009B2C42" w:rsidRDefault="00CE020B" w:rsidP="00934CD3">
            <w:pPr>
              <w:rPr>
                <w:rFonts w:ascii="Times New Roman" w:hAnsi="Times New Roman" w:cs="Times New Roman"/>
                <w:sz w:val="20"/>
                <w:szCs w:val="20"/>
              </w:rPr>
            </w:pPr>
            <w:r w:rsidRPr="009B2C42">
              <w:rPr>
                <w:rFonts w:ascii="Times New Roman" w:hAnsi="Times New Roman" w:cs="Times New Roman"/>
                <w:sz w:val="20"/>
                <w:szCs w:val="20"/>
              </w:rPr>
              <w:t>F. Physical Facilities</w:t>
            </w:r>
          </w:p>
        </w:tc>
        <w:tc>
          <w:tcPr>
            <w:tcW w:w="810" w:type="dxa"/>
            <w:tcBorders>
              <w:top w:val="nil"/>
              <w:left w:val="single" w:sz="16" w:space="0" w:color="000000"/>
              <w:bottom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.347</w:t>
            </w:r>
          </w:p>
        </w:tc>
        <w:tc>
          <w:tcPr>
            <w:tcW w:w="810" w:type="dxa"/>
            <w:tcBorders>
              <w:top w:val="nil"/>
              <w:bottom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.083</w:t>
            </w:r>
          </w:p>
        </w:tc>
        <w:tc>
          <w:tcPr>
            <w:tcW w:w="990" w:type="dxa"/>
            <w:tcBorders>
              <w:top w:val="nil"/>
              <w:bottom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.378</w:t>
            </w:r>
          </w:p>
        </w:tc>
        <w:tc>
          <w:tcPr>
            <w:tcW w:w="720" w:type="dxa"/>
            <w:tcBorders>
              <w:top w:val="nil"/>
              <w:bottom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4.176</w:t>
            </w:r>
          </w:p>
        </w:tc>
        <w:tc>
          <w:tcPr>
            <w:tcW w:w="720" w:type="dxa"/>
            <w:tcBorders>
              <w:top w:val="nil"/>
              <w:bottom w:val="single" w:sz="16" w:space="0" w:color="000000"/>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.000</w:t>
            </w:r>
          </w:p>
        </w:tc>
        <w:tc>
          <w:tcPr>
            <w:tcW w:w="630" w:type="dxa"/>
            <w:tcBorders>
              <w:top w:val="nil"/>
              <w:bottom w:val="single" w:sz="16" w:space="0" w:color="000000"/>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R</w:t>
            </w:r>
          </w:p>
        </w:tc>
        <w:tc>
          <w:tcPr>
            <w:tcW w:w="720" w:type="dxa"/>
            <w:tcBorders>
              <w:top w:val="nil"/>
              <w:bottom w:val="single" w:sz="16" w:space="0" w:color="000000"/>
              <w:right w:val="single" w:sz="16" w:space="0" w:color="000000"/>
            </w:tcBorders>
            <w:shd w:val="clear" w:color="auto" w:fill="FFFFFF"/>
            <w:vAlign w:val="center"/>
          </w:tcPr>
          <w:p w:rsidR="00CE020B" w:rsidRPr="009B2C42" w:rsidRDefault="00CE020B" w:rsidP="00934CD3">
            <w:pPr>
              <w:jc w:val="center"/>
              <w:rPr>
                <w:rFonts w:ascii="Times New Roman" w:hAnsi="Times New Roman" w:cs="Times New Roman"/>
                <w:sz w:val="20"/>
                <w:szCs w:val="20"/>
              </w:rPr>
            </w:pPr>
            <w:r w:rsidRPr="009B2C42">
              <w:rPr>
                <w:rFonts w:ascii="Times New Roman" w:hAnsi="Times New Roman" w:cs="Times New Roman"/>
                <w:sz w:val="20"/>
                <w:szCs w:val="20"/>
              </w:rPr>
              <w:t>S</w:t>
            </w:r>
          </w:p>
        </w:tc>
      </w:tr>
      <w:tr w:rsidR="00CE020B" w:rsidRPr="00D67A50" w:rsidTr="00934CD3">
        <w:trPr>
          <w:cantSplit/>
        </w:trPr>
        <w:tc>
          <w:tcPr>
            <w:tcW w:w="9272" w:type="dxa"/>
            <w:gridSpan w:val="10"/>
            <w:tcBorders>
              <w:top w:val="nil"/>
              <w:left w:val="nil"/>
              <w:bottom w:val="nil"/>
              <w:right w:val="nil"/>
            </w:tcBorders>
            <w:shd w:val="clear" w:color="auto" w:fill="FFFFFF"/>
          </w:tcPr>
          <w:p w:rsidR="00CE020B" w:rsidRPr="00CE020B" w:rsidRDefault="00CE020B" w:rsidP="00934CD3">
            <w:pPr>
              <w:rPr>
                <w:rFonts w:ascii="Times New Roman" w:hAnsi="Times New Roman" w:cs="Times New Roman"/>
                <w:sz w:val="20"/>
                <w:szCs w:val="24"/>
              </w:rPr>
            </w:pPr>
            <w:r w:rsidRPr="00CE020B">
              <w:rPr>
                <w:rFonts w:ascii="Times New Roman" w:hAnsi="Times New Roman" w:cs="Times New Roman"/>
                <w:sz w:val="20"/>
                <w:szCs w:val="24"/>
              </w:rPr>
              <w:t>a. Dependent Variable: Access</w:t>
            </w:r>
          </w:p>
        </w:tc>
      </w:tr>
    </w:tbl>
    <w:p w:rsidR="007501F7" w:rsidRDefault="0073687C" w:rsidP="00EC0BF1">
      <w:pPr>
        <w:autoSpaceDE w:val="0"/>
        <w:autoSpaceDN w:val="0"/>
        <w:adjustRightInd w:val="0"/>
        <w:spacing w:after="0" w:line="360" w:lineRule="auto"/>
        <w:jc w:val="both"/>
        <w:rPr>
          <w:rFonts w:ascii="Times New Roman" w:hAnsi="Times New Roman" w:cs="Times New Roman"/>
          <w:sz w:val="20"/>
          <w:szCs w:val="24"/>
        </w:rPr>
      </w:pPr>
      <w:r>
        <w:rPr>
          <w:rFonts w:ascii="Times New Roman" w:hAnsi="Times New Roman" w:cs="Times New Roman"/>
          <w:sz w:val="20"/>
          <w:szCs w:val="24"/>
        </w:rPr>
        <w:tab/>
        <w:t>As presented in Table 6</w:t>
      </w:r>
      <w:r w:rsidR="007501F7" w:rsidRPr="0073687C">
        <w:rPr>
          <w:rFonts w:ascii="Times New Roman" w:hAnsi="Times New Roman" w:cs="Times New Roman"/>
          <w:sz w:val="20"/>
          <w:szCs w:val="24"/>
        </w:rPr>
        <w:t xml:space="preserve">, the computed P-values on the regression analysis between the level of compliance in terms of student services, physical facilities and other factors; and access of State Universities and Colleges (SUCs), Local Universities and Colleges (LUCs) and Private Higher </w:t>
      </w:r>
      <w:r w:rsidR="007501F7" w:rsidRPr="0073687C">
        <w:rPr>
          <w:rFonts w:ascii="Times New Roman" w:hAnsi="Times New Roman" w:cs="Times New Roman"/>
          <w:sz w:val="20"/>
          <w:szCs w:val="24"/>
        </w:rPr>
        <w:lastRenderedPageBreak/>
        <w:t>Education Institutions</w:t>
      </w:r>
      <w:r w:rsidR="007501F7" w:rsidRPr="0073687C">
        <w:rPr>
          <w:rFonts w:ascii="Times New Roman" w:hAnsi="Times New Roman" w:cs="Times New Roman"/>
          <w:b/>
          <w:sz w:val="20"/>
          <w:szCs w:val="24"/>
        </w:rPr>
        <w:t xml:space="preserve"> </w:t>
      </w:r>
      <w:r w:rsidR="007501F7" w:rsidRPr="0073687C">
        <w:rPr>
          <w:rFonts w:ascii="Times New Roman" w:hAnsi="Times New Roman" w:cs="Times New Roman"/>
          <w:sz w:val="20"/>
          <w:szCs w:val="24"/>
        </w:rPr>
        <w:t>(PHEIs) are all 0.000 which is lower than 0.05 level of significance.  On the other hand, governance and management, quality of teaching and research faculty, curriculum, and community extension/outreach have p-values of 0.188, 0.569, 0.549 and 0.667 respectively which are higher than the 0.05 level of significance.</w:t>
      </w:r>
    </w:p>
    <w:p w:rsidR="0073687C" w:rsidRPr="0073687C" w:rsidRDefault="0073687C" w:rsidP="00EC0BF1">
      <w:pPr>
        <w:autoSpaceDE w:val="0"/>
        <w:autoSpaceDN w:val="0"/>
        <w:adjustRightInd w:val="0"/>
        <w:spacing w:after="0" w:line="360" w:lineRule="auto"/>
        <w:jc w:val="both"/>
        <w:rPr>
          <w:rFonts w:ascii="Times New Roman" w:hAnsi="Times New Roman" w:cs="Times New Roman"/>
          <w:sz w:val="20"/>
          <w:szCs w:val="24"/>
        </w:rPr>
      </w:pPr>
    </w:p>
    <w:p w:rsidR="009C597E" w:rsidRDefault="007501F7" w:rsidP="00EC0BF1">
      <w:pPr>
        <w:autoSpaceDE w:val="0"/>
        <w:autoSpaceDN w:val="0"/>
        <w:adjustRightInd w:val="0"/>
        <w:spacing w:after="0" w:line="360" w:lineRule="auto"/>
        <w:ind w:firstLine="720"/>
        <w:jc w:val="both"/>
        <w:rPr>
          <w:rFonts w:ascii="Times New Roman" w:hAnsi="Times New Roman" w:cs="Times New Roman"/>
          <w:sz w:val="20"/>
          <w:szCs w:val="24"/>
        </w:rPr>
      </w:pPr>
      <w:r w:rsidRPr="0073687C">
        <w:rPr>
          <w:rFonts w:ascii="Times New Roman" w:hAnsi="Times New Roman" w:cs="Times New Roman"/>
          <w:sz w:val="20"/>
          <w:szCs w:val="24"/>
        </w:rPr>
        <w:t>The result indicated that student services, physical facilities and other factors are significant predictors of access State Universities and Colleges (SUCs), Local Universities and Colleges (LUCs) and Private Higher Education Institutions (PHEIs), while governance and management, quality of teaching and research faculty, curriculum, and community extension/outreach are not.  Thus, there is a need for the three categories of higher education institutions to strengthen the compliance in student services, physical facilities and other factors such as linkages and library facilities in order to attain achievement of access.</w:t>
      </w:r>
    </w:p>
    <w:p w:rsidR="00EC0BF1" w:rsidRDefault="00EC0BF1" w:rsidP="00EC0BF1">
      <w:pPr>
        <w:autoSpaceDE w:val="0"/>
        <w:autoSpaceDN w:val="0"/>
        <w:adjustRightInd w:val="0"/>
        <w:spacing w:after="0" w:line="360" w:lineRule="auto"/>
        <w:ind w:firstLine="720"/>
        <w:jc w:val="both"/>
        <w:rPr>
          <w:rFonts w:ascii="Times New Roman" w:hAnsi="Times New Roman" w:cs="Times New Roman"/>
          <w:sz w:val="20"/>
          <w:szCs w:val="24"/>
        </w:rPr>
      </w:pPr>
    </w:p>
    <w:p w:rsidR="0073687C" w:rsidRPr="00EC0BF1" w:rsidRDefault="003566EE" w:rsidP="00934CD3">
      <w:pPr>
        <w:autoSpaceDE w:val="0"/>
        <w:autoSpaceDN w:val="0"/>
        <w:adjustRightInd w:val="0"/>
        <w:jc w:val="center"/>
        <w:rPr>
          <w:rFonts w:ascii="Times New Roman" w:hAnsi="Times New Roman" w:cs="Times New Roman"/>
          <w:sz w:val="20"/>
          <w:szCs w:val="24"/>
        </w:rPr>
      </w:pPr>
      <w:r w:rsidRPr="00EC0BF1">
        <w:rPr>
          <w:rFonts w:ascii="Times New Roman" w:hAnsi="Times New Roman" w:cs="Times New Roman"/>
          <w:sz w:val="20"/>
          <w:szCs w:val="24"/>
        </w:rPr>
        <w:t>Table 7</w:t>
      </w:r>
    </w:p>
    <w:p w:rsidR="0073687C" w:rsidRPr="00EC0BF1" w:rsidRDefault="0073687C" w:rsidP="00934CD3">
      <w:pPr>
        <w:autoSpaceDE w:val="0"/>
        <w:autoSpaceDN w:val="0"/>
        <w:adjustRightInd w:val="0"/>
        <w:jc w:val="center"/>
        <w:rPr>
          <w:rFonts w:ascii="Times New Roman" w:hAnsi="Times New Roman" w:cs="Times New Roman"/>
          <w:b/>
          <w:sz w:val="20"/>
          <w:szCs w:val="24"/>
        </w:rPr>
      </w:pPr>
      <w:r w:rsidRPr="00EC0BF1">
        <w:rPr>
          <w:rFonts w:ascii="Times New Roman" w:hAnsi="Times New Roman" w:cs="Times New Roman"/>
          <w:b/>
          <w:sz w:val="20"/>
          <w:szCs w:val="24"/>
        </w:rPr>
        <w:t xml:space="preserve">Computed Coefficients, t-values, Probability Values and Decision on the Regression Analysis Between the Level of Compliance and Achievement with Respect to Capacity Building of State Universities and Colleges Local Universities and Colleges and Private Higher Education Institutions </w:t>
      </w:r>
    </w:p>
    <w:tbl>
      <w:tblPr>
        <w:tblW w:w="108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880"/>
        <w:gridCol w:w="720"/>
        <w:gridCol w:w="720"/>
        <w:gridCol w:w="1260"/>
        <w:gridCol w:w="720"/>
        <w:gridCol w:w="720"/>
        <w:gridCol w:w="630"/>
        <w:gridCol w:w="630"/>
        <w:gridCol w:w="2432"/>
      </w:tblGrid>
      <w:tr w:rsidR="001F1E12" w:rsidRPr="0073687C" w:rsidTr="00934CD3">
        <w:trPr>
          <w:gridAfter w:val="1"/>
          <w:wAfter w:w="2432" w:type="dxa"/>
          <w:cantSplit/>
          <w:trHeight w:val="1040"/>
        </w:trPr>
        <w:tc>
          <w:tcPr>
            <w:tcW w:w="2970" w:type="dxa"/>
            <w:gridSpan w:val="2"/>
            <w:vMerge w:val="restart"/>
            <w:tcBorders>
              <w:top w:val="single" w:sz="16" w:space="0" w:color="000000"/>
              <w:left w:val="single" w:sz="16" w:space="0" w:color="000000"/>
              <w:bottom w:val="nil"/>
              <w:right w:val="nil"/>
            </w:tcBorders>
            <w:shd w:val="clear" w:color="auto" w:fill="FFFFFF"/>
            <w:vAlign w:val="center"/>
          </w:tcPr>
          <w:p w:rsidR="0073687C" w:rsidRPr="0073687C" w:rsidRDefault="0073687C" w:rsidP="00F374AF">
            <w:pPr>
              <w:ind w:left="-540"/>
              <w:jc w:val="center"/>
              <w:rPr>
                <w:rFonts w:ascii="Times New Roman" w:hAnsi="Times New Roman" w:cs="Times New Roman"/>
                <w:b/>
                <w:sz w:val="20"/>
                <w:szCs w:val="24"/>
              </w:rPr>
            </w:pPr>
            <w:r w:rsidRPr="0073687C">
              <w:rPr>
                <w:rFonts w:ascii="Times New Roman" w:hAnsi="Times New Roman" w:cs="Times New Roman"/>
                <w:b/>
                <w:sz w:val="20"/>
                <w:szCs w:val="24"/>
              </w:rPr>
              <w:t>Model</w:t>
            </w:r>
          </w:p>
        </w:tc>
        <w:tc>
          <w:tcPr>
            <w:tcW w:w="1440" w:type="dxa"/>
            <w:gridSpan w:val="2"/>
            <w:tcBorders>
              <w:top w:val="single" w:sz="16" w:space="0" w:color="000000"/>
              <w:lef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b/>
                <w:sz w:val="20"/>
                <w:szCs w:val="16"/>
              </w:rPr>
            </w:pPr>
            <w:r w:rsidRPr="0073687C">
              <w:rPr>
                <w:rFonts w:ascii="Times New Roman" w:hAnsi="Times New Roman" w:cs="Times New Roman"/>
                <w:b/>
                <w:sz w:val="20"/>
                <w:szCs w:val="16"/>
              </w:rPr>
              <w:t>Unstandardized Coefficients</w:t>
            </w:r>
          </w:p>
        </w:tc>
        <w:tc>
          <w:tcPr>
            <w:tcW w:w="1260" w:type="dxa"/>
            <w:tcBorders>
              <w:top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b/>
                <w:sz w:val="20"/>
                <w:szCs w:val="16"/>
              </w:rPr>
            </w:pPr>
            <w:r w:rsidRPr="0073687C">
              <w:rPr>
                <w:rFonts w:ascii="Times New Roman" w:hAnsi="Times New Roman" w:cs="Times New Roman"/>
                <w:b/>
                <w:sz w:val="20"/>
                <w:szCs w:val="16"/>
              </w:rPr>
              <w:t>Standardized Coefficients</w:t>
            </w:r>
          </w:p>
        </w:tc>
        <w:tc>
          <w:tcPr>
            <w:tcW w:w="720" w:type="dxa"/>
            <w:vMerge w:val="restart"/>
            <w:tcBorders>
              <w:top w:val="single" w:sz="16" w:space="0" w:color="000000"/>
            </w:tcBorders>
            <w:shd w:val="clear" w:color="auto" w:fill="FFFFFF"/>
            <w:vAlign w:val="center"/>
          </w:tcPr>
          <w:p w:rsidR="0073687C" w:rsidRPr="0073687C" w:rsidRDefault="0073687C" w:rsidP="001F1E12">
            <w:pPr>
              <w:ind w:left="-10"/>
              <w:jc w:val="center"/>
              <w:rPr>
                <w:rFonts w:ascii="Times New Roman" w:hAnsi="Times New Roman" w:cs="Times New Roman"/>
                <w:b/>
                <w:sz w:val="20"/>
                <w:szCs w:val="24"/>
              </w:rPr>
            </w:pPr>
            <w:r w:rsidRPr="0073687C">
              <w:rPr>
                <w:rFonts w:ascii="Times New Roman" w:hAnsi="Times New Roman" w:cs="Times New Roman"/>
                <w:b/>
                <w:sz w:val="20"/>
                <w:szCs w:val="24"/>
              </w:rPr>
              <w:t>t</w:t>
            </w:r>
          </w:p>
        </w:tc>
        <w:tc>
          <w:tcPr>
            <w:tcW w:w="720" w:type="dxa"/>
            <w:vMerge w:val="restart"/>
            <w:tcBorders>
              <w:top w:val="single" w:sz="16" w:space="0" w:color="000000"/>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b/>
                <w:sz w:val="20"/>
                <w:szCs w:val="24"/>
              </w:rPr>
            </w:pPr>
            <w:r w:rsidRPr="0073687C">
              <w:rPr>
                <w:rFonts w:ascii="Times New Roman" w:hAnsi="Times New Roman" w:cs="Times New Roman"/>
                <w:b/>
                <w:sz w:val="20"/>
                <w:szCs w:val="24"/>
              </w:rPr>
              <w:t>Sig.</w:t>
            </w:r>
          </w:p>
        </w:tc>
        <w:tc>
          <w:tcPr>
            <w:tcW w:w="630" w:type="dxa"/>
            <w:vMerge w:val="restart"/>
            <w:tcBorders>
              <w:top w:val="single" w:sz="16" w:space="0" w:color="000000"/>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b/>
                <w:sz w:val="20"/>
                <w:szCs w:val="24"/>
              </w:rPr>
            </w:pPr>
            <w:r w:rsidRPr="0073687C">
              <w:rPr>
                <w:rFonts w:ascii="Times New Roman" w:hAnsi="Times New Roman" w:cs="Times New Roman"/>
                <w:b/>
                <w:sz w:val="20"/>
                <w:szCs w:val="24"/>
              </w:rPr>
              <w:t>Ho</w:t>
            </w:r>
          </w:p>
        </w:tc>
        <w:tc>
          <w:tcPr>
            <w:tcW w:w="630" w:type="dxa"/>
            <w:vMerge w:val="restart"/>
            <w:tcBorders>
              <w:top w:val="single" w:sz="16" w:space="0" w:color="000000"/>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b/>
                <w:sz w:val="20"/>
                <w:szCs w:val="24"/>
              </w:rPr>
            </w:pPr>
            <w:r w:rsidRPr="0073687C">
              <w:rPr>
                <w:rFonts w:ascii="Times New Roman" w:hAnsi="Times New Roman" w:cs="Times New Roman"/>
                <w:b/>
                <w:sz w:val="20"/>
                <w:szCs w:val="24"/>
              </w:rPr>
              <w:t>VI</w:t>
            </w:r>
          </w:p>
        </w:tc>
      </w:tr>
      <w:tr w:rsidR="001F1E12" w:rsidRPr="0073687C" w:rsidTr="00934CD3">
        <w:trPr>
          <w:gridAfter w:val="1"/>
          <w:wAfter w:w="2432" w:type="dxa"/>
          <w:cantSplit/>
        </w:trPr>
        <w:tc>
          <w:tcPr>
            <w:tcW w:w="2970" w:type="dxa"/>
            <w:gridSpan w:val="2"/>
            <w:vMerge/>
            <w:tcBorders>
              <w:top w:val="single" w:sz="16" w:space="0" w:color="000000"/>
              <w:left w:val="single" w:sz="16" w:space="0" w:color="000000"/>
              <w:bottom w:val="nil"/>
              <w:right w:val="nil"/>
            </w:tcBorders>
            <w:shd w:val="clear" w:color="auto" w:fill="FFFFFF"/>
          </w:tcPr>
          <w:p w:rsidR="0073687C" w:rsidRPr="0073687C" w:rsidRDefault="0073687C" w:rsidP="00F374AF">
            <w:pPr>
              <w:ind w:left="-540"/>
              <w:rPr>
                <w:rFonts w:ascii="Times New Roman" w:hAnsi="Times New Roman" w:cs="Times New Roman"/>
                <w:sz w:val="20"/>
                <w:szCs w:val="24"/>
              </w:rPr>
            </w:pPr>
          </w:p>
        </w:tc>
        <w:tc>
          <w:tcPr>
            <w:tcW w:w="720" w:type="dxa"/>
            <w:tcBorders>
              <w:left w:val="single" w:sz="16" w:space="0" w:color="000000"/>
              <w:bottom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b/>
                <w:sz w:val="20"/>
                <w:szCs w:val="24"/>
              </w:rPr>
            </w:pPr>
            <w:r w:rsidRPr="0073687C">
              <w:rPr>
                <w:rFonts w:ascii="Times New Roman" w:hAnsi="Times New Roman" w:cs="Times New Roman"/>
                <w:b/>
                <w:sz w:val="20"/>
                <w:szCs w:val="24"/>
              </w:rPr>
              <w:t>B</w:t>
            </w:r>
          </w:p>
        </w:tc>
        <w:tc>
          <w:tcPr>
            <w:tcW w:w="720" w:type="dxa"/>
            <w:tcBorders>
              <w:bottom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b/>
                <w:sz w:val="20"/>
                <w:szCs w:val="24"/>
              </w:rPr>
            </w:pPr>
            <w:r w:rsidRPr="0073687C">
              <w:rPr>
                <w:rFonts w:ascii="Times New Roman" w:hAnsi="Times New Roman" w:cs="Times New Roman"/>
                <w:b/>
                <w:sz w:val="20"/>
                <w:szCs w:val="24"/>
              </w:rPr>
              <w:t>Std. Error</w:t>
            </w:r>
          </w:p>
        </w:tc>
        <w:tc>
          <w:tcPr>
            <w:tcW w:w="1260" w:type="dxa"/>
            <w:tcBorders>
              <w:bottom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b/>
                <w:sz w:val="20"/>
                <w:szCs w:val="24"/>
              </w:rPr>
            </w:pPr>
            <w:r w:rsidRPr="0073687C">
              <w:rPr>
                <w:rFonts w:ascii="Times New Roman" w:hAnsi="Times New Roman" w:cs="Times New Roman"/>
                <w:b/>
                <w:sz w:val="20"/>
                <w:szCs w:val="24"/>
              </w:rPr>
              <w:t>Beta</w:t>
            </w:r>
          </w:p>
        </w:tc>
        <w:tc>
          <w:tcPr>
            <w:tcW w:w="720" w:type="dxa"/>
            <w:vMerge/>
            <w:tcBorders>
              <w:top w:val="single" w:sz="16" w:space="0" w:color="000000"/>
            </w:tcBorders>
            <w:shd w:val="clear" w:color="auto" w:fill="FFFFFF"/>
          </w:tcPr>
          <w:p w:rsidR="0073687C" w:rsidRPr="0073687C" w:rsidRDefault="0073687C" w:rsidP="00F374AF">
            <w:pPr>
              <w:ind w:left="-540"/>
              <w:rPr>
                <w:rFonts w:ascii="Times New Roman" w:hAnsi="Times New Roman" w:cs="Times New Roman"/>
                <w:sz w:val="20"/>
                <w:szCs w:val="24"/>
              </w:rPr>
            </w:pPr>
          </w:p>
        </w:tc>
        <w:tc>
          <w:tcPr>
            <w:tcW w:w="720" w:type="dxa"/>
            <w:vMerge/>
            <w:tcBorders>
              <w:top w:val="single" w:sz="16" w:space="0" w:color="000000"/>
              <w:right w:val="single" w:sz="16" w:space="0" w:color="000000"/>
            </w:tcBorders>
            <w:shd w:val="clear" w:color="auto" w:fill="FFFFFF"/>
          </w:tcPr>
          <w:p w:rsidR="0073687C" w:rsidRPr="0073687C" w:rsidRDefault="0073687C" w:rsidP="00F374AF">
            <w:pPr>
              <w:ind w:left="-540"/>
              <w:rPr>
                <w:rFonts w:ascii="Times New Roman" w:hAnsi="Times New Roman" w:cs="Times New Roman"/>
                <w:sz w:val="20"/>
                <w:szCs w:val="24"/>
              </w:rPr>
            </w:pPr>
          </w:p>
        </w:tc>
        <w:tc>
          <w:tcPr>
            <w:tcW w:w="630" w:type="dxa"/>
            <w:vMerge/>
            <w:tcBorders>
              <w:right w:val="single" w:sz="16" w:space="0" w:color="000000"/>
            </w:tcBorders>
            <w:shd w:val="clear" w:color="auto" w:fill="FFFFFF"/>
          </w:tcPr>
          <w:p w:rsidR="0073687C" w:rsidRPr="0073687C" w:rsidRDefault="0073687C" w:rsidP="00F374AF">
            <w:pPr>
              <w:ind w:left="-540"/>
              <w:rPr>
                <w:rFonts w:ascii="Times New Roman" w:hAnsi="Times New Roman" w:cs="Times New Roman"/>
                <w:sz w:val="20"/>
                <w:szCs w:val="24"/>
              </w:rPr>
            </w:pPr>
          </w:p>
        </w:tc>
        <w:tc>
          <w:tcPr>
            <w:tcW w:w="630" w:type="dxa"/>
            <w:vMerge/>
            <w:tcBorders>
              <w:right w:val="single" w:sz="16" w:space="0" w:color="000000"/>
            </w:tcBorders>
            <w:shd w:val="clear" w:color="auto" w:fill="FFFFFF"/>
          </w:tcPr>
          <w:p w:rsidR="0073687C" w:rsidRPr="0073687C" w:rsidRDefault="0073687C" w:rsidP="00F374AF">
            <w:pPr>
              <w:ind w:left="-540"/>
              <w:rPr>
                <w:rFonts w:ascii="Times New Roman" w:hAnsi="Times New Roman" w:cs="Times New Roman"/>
                <w:sz w:val="20"/>
                <w:szCs w:val="24"/>
              </w:rPr>
            </w:pPr>
          </w:p>
        </w:tc>
      </w:tr>
      <w:tr w:rsidR="001F1E12" w:rsidRPr="0073687C" w:rsidTr="00934CD3">
        <w:trPr>
          <w:gridAfter w:val="1"/>
          <w:wAfter w:w="2432" w:type="dxa"/>
          <w:cantSplit/>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73687C" w:rsidRPr="0073687C" w:rsidRDefault="0073687C" w:rsidP="00F374AF">
            <w:pPr>
              <w:ind w:left="-540"/>
              <w:rPr>
                <w:rFonts w:ascii="Times New Roman" w:hAnsi="Times New Roman" w:cs="Times New Roman"/>
                <w:sz w:val="20"/>
                <w:szCs w:val="24"/>
              </w:rPr>
            </w:pPr>
          </w:p>
        </w:tc>
        <w:tc>
          <w:tcPr>
            <w:tcW w:w="2880" w:type="dxa"/>
            <w:tcBorders>
              <w:top w:val="single" w:sz="16" w:space="0" w:color="000000"/>
              <w:left w:val="nil"/>
              <w:bottom w:val="nil"/>
              <w:right w:val="single" w:sz="16" w:space="0" w:color="000000"/>
            </w:tcBorders>
            <w:shd w:val="clear" w:color="auto" w:fill="FFFFFF"/>
            <w:vAlign w:val="center"/>
          </w:tcPr>
          <w:p w:rsidR="0073687C" w:rsidRPr="0073687C" w:rsidRDefault="0073687C" w:rsidP="001F1E12">
            <w:pPr>
              <w:rPr>
                <w:rFonts w:ascii="Times New Roman" w:hAnsi="Times New Roman" w:cs="Times New Roman"/>
                <w:sz w:val="20"/>
                <w:szCs w:val="24"/>
              </w:rPr>
            </w:pPr>
            <w:r w:rsidRPr="0073687C">
              <w:rPr>
                <w:rFonts w:ascii="Times New Roman" w:hAnsi="Times New Roman" w:cs="Times New Roman"/>
                <w:sz w:val="20"/>
                <w:szCs w:val="24"/>
              </w:rPr>
              <w:t>(Constant)</w:t>
            </w:r>
          </w:p>
        </w:tc>
        <w:tc>
          <w:tcPr>
            <w:tcW w:w="720" w:type="dxa"/>
            <w:tcBorders>
              <w:top w:val="single" w:sz="16" w:space="0" w:color="000000"/>
              <w:left w:val="single" w:sz="16" w:space="0" w:color="000000"/>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2.294</w:t>
            </w:r>
          </w:p>
        </w:tc>
        <w:tc>
          <w:tcPr>
            <w:tcW w:w="720" w:type="dxa"/>
            <w:tcBorders>
              <w:top w:val="single" w:sz="16" w:space="0" w:color="000000"/>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.311</w:t>
            </w:r>
          </w:p>
        </w:tc>
        <w:tc>
          <w:tcPr>
            <w:tcW w:w="1260" w:type="dxa"/>
            <w:tcBorders>
              <w:top w:val="single" w:sz="16" w:space="0" w:color="000000"/>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p>
        </w:tc>
        <w:tc>
          <w:tcPr>
            <w:tcW w:w="720" w:type="dxa"/>
            <w:tcBorders>
              <w:top w:val="single" w:sz="16" w:space="0" w:color="000000"/>
              <w:bottom w:val="nil"/>
            </w:tcBorders>
            <w:shd w:val="clear" w:color="auto" w:fill="FFFFFF"/>
            <w:vAlign w:val="center"/>
          </w:tcPr>
          <w:p w:rsidR="0073687C" w:rsidRPr="0073687C" w:rsidRDefault="0073687C" w:rsidP="001F1E12">
            <w:pPr>
              <w:ind w:left="-10"/>
              <w:jc w:val="center"/>
              <w:rPr>
                <w:rFonts w:ascii="Times New Roman" w:hAnsi="Times New Roman" w:cs="Times New Roman"/>
                <w:sz w:val="20"/>
                <w:szCs w:val="24"/>
              </w:rPr>
            </w:pPr>
            <w:r w:rsidRPr="0073687C">
              <w:rPr>
                <w:rFonts w:ascii="Times New Roman" w:hAnsi="Times New Roman" w:cs="Times New Roman"/>
                <w:sz w:val="20"/>
                <w:szCs w:val="24"/>
              </w:rPr>
              <w:t>7.367</w:t>
            </w:r>
          </w:p>
        </w:tc>
        <w:tc>
          <w:tcPr>
            <w:tcW w:w="720" w:type="dxa"/>
            <w:tcBorders>
              <w:top w:val="single" w:sz="16" w:space="0" w:color="000000"/>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.000</w:t>
            </w:r>
          </w:p>
        </w:tc>
        <w:tc>
          <w:tcPr>
            <w:tcW w:w="630" w:type="dxa"/>
            <w:tcBorders>
              <w:top w:val="single" w:sz="16" w:space="0" w:color="000000"/>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R</w:t>
            </w:r>
          </w:p>
        </w:tc>
        <w:tc>
          <w:tcPr>
            <w:tcW w:w="630" w:type="dxa"/>
            <w:tcBorders>
              <w:top w:val="single" w:sz="16" w:space="0" w:color="000000"/>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S</w:t>
            </w:r>
          </w:p>
        </w:tc>
      </w:tr>
      <w:tr w:rsidR="001F1E12" w:rsidRPr="0073687C" w:rsidTr="00934CD3">
        <w:trPr>
          <w:gridAfter w:val="1"/>
          <w:wAfter w:w="2432" w:type="dxa"/>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73687C" w:rsidRPr="0073687C" w:rsidRDefault="0073687C" w:rsidP="00F374AF">
            <w:pPr>
              <w:ind w:left="-540"/>
              <w:rPr>
                <w:rFonts w:ascii="Times New Roman" w:hAnsi="Times New Roman" w:cs="Times New Roman"/>
                <w:sz w:val="20"/>
                <w:szCs w:val="24"/>
              </w:rPr>
            </w:pPr>
          </w:p>
        </w:tc>
        <w:tc>
          <w:tcPr>
            <w:tcW w:w="2880" w:type="dxa"/>
            <w:tcBorders>
              <w:top w:val="nil"/>
              <w:left w:val="nil"/>
              <w:bottom w:val="nil"/>
              <w:right w:val="single" w:sz="16" w:space="0" w:color="000000"/>
            </w:tcBorders>
            <w:shd w:val="clear" w:color="auto" w:fill="FFFFFF"/>
            <w:vAlign w:val="center"/>
          </w:tcPr>
          <w:p w:rsidR="0073687C" w:rsidRPr="0073687C" w:rsidRDefault="0073687C" w:rsidP="001F1E12">
            <w:pPr>
              <w:rPr>
                <w:rFonts w:ascii="Times New Roman" w:hAnsi="Times New Roman" w:cs="Times New Roman"/>
                <w:sz w:val="20"/>
                <w:szCs w:val="24"/>
              </w:rPr>
            </w:pPr>
            <w:r w:rsidRPr="0073687C">
              <w:rPr>
                <w:rFonts w:ascii="Times New Roman" w:hAnsi="Times New Roman" w:cs="Times New Roman"/>
                <w:sz w:val="20"/>
                <w:szCs w:val="24"/>
              </w:rPr>
              <w:t>A. Governance &amp; Management</w:t>
            </w:r>
          </w:p>
        </w:tc>
        <w:tc>
          <w:tcPr>
            <w:tcW w:w="720" w:type="dxa"/>
            <w:tcBorders>
              <w:top w:val="nil"/>
              <w:left w:val="single" w:sz="16" w:space="0" w:color="000000"/>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.153</w:t>
            </w:r>
          </w:p>
        </w:tc>
        <w:tc>
          <w:tcPr>
            <w:tcW w:w="72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.089</w:t>
            </w:r>
          </w:p>
        </w:tc>
        <w:tc>
          <w:tcPr>
            <w:tcW w:w="126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.142</w:t>
            </w:r>
          </w:p>
        </w:tc>
        <w:tc>
          <w:tcPr>
            <w:tcW w:w="720" w:type="dxa"/>
            <w:tcBorders>
              <w:top w:val="nil"/>
              <w:bottom w:val="nil"/>
            </w:tcBorders>
            <w:shd w:val="clear" w:color="auto" w:fill="FFFFFF"/>
            <w:vAlign w:val="center"/>
          </w:tcPr>
          <w:p w:rsidR="0073687C" w:rsidRPr="0073687C" w:rsidRDefault="0073687C" w:rsidP="001F1E12">
            <w:pPr>
              <w:ind w:left="-10"/>
              <w:jc w:val="center"/>
              <w:rPr>
                <w:rFonts w:ascii="Times New Roman" w:hAnsi="Times New Roman" w:cs="Times New Roman"/>
                <w:sz w:val="20"/>
                <w:szCs w:val="24"/>
              </w:rPr>
            </w:pPr>
            <w:r w:rsidRPr="0073687C">
              <w:rPr>
                <w:rFonts w:ascii="Times New Roman" w:hAnsi="Times New Roman" w:cs="Times New Roman"/>
                <w:sz w:val="20"/>
                <w:szCs w:val="24"/>
              </w:rPr>
              <w:t>1.724</w:t>
            </w:r>
          </w:p>
        </w:tc>
        <w:tc>
          <w:tcPr>
            <w:tcW w:w="72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.086</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FR</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NS</w:t>
            </w:r>
          </w:p>
        </w:tc>
      </w:tr>
      <w:tr w:rsidR="001F1E12" w:rsidRPr="0073687C" w:rsidTr="00934CD3">
        <w:trPr>
          <w:gridAfter w:val="1"/>
          <w:wAfter w:w="2432" w:type="dxa"/>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73687C" w:rsidRPr="0073687C" w:rsidRDefault="0073687C" w:rsidP="00F374AF">
            <w:pPr>
              <w:ind w:left="-540"/>
              <w:rPr>
                <w:rFonts w:ascii="Times New Roman" w:hAnsi="Times New Roman" w:cs="Times New Roman"/>
                <w:sz w:val="20"/>
                <w:szCs w:val="24"/>
              </w:rPr>
            </w:pPr>
          </w:p>
        </w:tc>
        <w:tc>
          <w:tcPr>
            <w:tcW w:w="2880" w:type="dxa"/>
            <w:tcBorders>
              <w:top w:val="nil"/>
              <w:left w:val="nil"/>
              <w:bottom w:val="nil"/>
              <w:right w:val="single" w:sz="16" w:space="0" w:color="000000"/>
            </w:tcBorders>
            <w:shd w:val="clear" w:color="auto" w:fill="FFFFFF"/>
            <w:vAlign w:val="center"/>
          </w:tcPr>
          <w:p w:rsidR="0073687C" w:rsidRPr="0073687C" w:rsidRDefault="0073687C" w:rsidP="001F1E12">
            <w:pPr>
              <w:rPr>
                <w:rFonts w:ascii="Times New Roman" w:hAnsi="Times New Roman" w:cs="Times New Roman"/>
                <w:sz w:val="20"/>
                <w:szCs w:val="24"/>
              </w:rPr>
            </w:pPr>
            <w:r w:rsidRPr="0073687C">
              <w:rPr>
                <w:rFonts w:ascii="Times New Roman" w:hAnsi="Times New Roman" w:cs="Times New Roman"/>
                <w:sz w:val="20"/>
                <w:szCs w:val="24"/>
              </w:rPr>
              <w:t>B. Teaching and Research Faculty</w:t>
            </w:r>
          </w:p>
        </w:tc>
        <w:tc>
          <w:tcPr>
            <w:tcW w:w="720" w:type="dxa"/>
            <w:tcBorders>
              <w:top w:val="nil"/>
              <w:left w:val="single" w:sz="16" w:space="0" w:color="000000"/>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-.090</w:t>
            </w:r>
          </w:p>
        </w:tc>
        <w:tc>
          <w:tcPr>
            <w:tcW w:w="72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.118</w:t>
            </w:r>
          </w:p>
        </w:tc>
        <w:tc>
          <w:tcPr>
            <w:tcW w:w="126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-.075</w:t>
            </w:r>
          </w:p>
        </w:tc>
        <w:tc>
          <w:tcPr>
            <w:tcW w:w="720" w:type="dxa"/>
            <w:tcBorders>
              <w:top w:val="nil"/>
              <w:bottom w:val="nil"/>
            </w:tcBorders>
            <w:shd w:val="clear" w:color="auto" w:fill="FFFFFF"/>
            <w:vAlign w:val="center"/>
          </w:tcPr>
          <w:p w:rsidR="0073687C" w:rsidRPr="0073687C" w:rsidRDefault="0073687C" w:rsidP="001F1E12">
            <w:pPr>
              <w:ind w:left="-10"/>
              <w:jc w:val="center"/>
              <w:rPr>
                <w:rFonts w:ascii="Times New Roman" w:hAnsi="Times New Roman" w:cs="Times New Roman"/>
                <w:sz w:val="20"/>
                <w:szCs w:val="24"/>
              </w:rPr>
            </w:pPr>
            <w:r w:rsidRPr="0073687C">
              <w:rPr>
                <w:rFonts w:ascii="Times New Roman" w:hAnsi="Times New Roman" w:cs="Times New Roman"/>
                <w:sz w:val="20"/>
                <w:szCs w:val="24"/>
              </w:rPr>
              <w:t>-.763</w:t>
            </w:r>
          </w:p>
        </w:tc>
        <w:tc>
          <w:tcPr>
            <w:tcW w:w="72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.447</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FR</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NS</w:t>
            </w:r>
          </w:p>
        </w:tc>
      </w:tr>
      <w:tr w:rsidR="001F1E12" w:rsidRPr="0073687C" w:rsidTr="00934CD3">
        <w:trPr>
          <w:gridAfter w:val="1"/>
          <w:wAfter w:w="2432" w:type="dxa"/>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73687C" w:rsidRPr="0073687C" w:rsidRDefault="0073687C" w:rsidP="00F374AF">
            <w:pPr>
              <w:ind w:left="-540"/>
              <w:rPr>
                <w:rFonts w:ascii="Times New Roman" w:hAnsi="Times New Roman" w:cs="Times New Roman"/>
                <w:sz w:val="20"/>
                <w:szCs w:val="24"/>
              </w:rPr>
            </w:pPr>
          </w:p>
        </w:tc>
        <w:tc>
          <w:tcPr>
            <w:tcW w:w="2880" w:type="dxa"/>
            <w:tcBorders>
              <w:top w:val="nil"/>
              <w:left w:val="nil"/>
              <w:bottom w:val="nil"/>
              <w:right w:val="single" w:sz="16" w:space="0" w:color="000000"/>
            </w:tcBorders>
            <w:shd w:val="clear" w:color="auto" w:fill="FFFFFF"/>
            <w:vAlign w:val="center"/>
          </w:tcPr>
          <w:p w:rsidR="0073687C" w:rsidRPr="0073687C" w:rsidRDefault="0073687C" w:rsidP="001F1E12">
            <w:pPr>
              <w:rPr>
                <w:rFonts w:ascii="Times New Roman" w:hAnsi="Times New Roman" w:cs="Times New Roman"/>
                <w:sz w:val="20"/>
                <w:szCs w:val="24"/>
              </w:rPr>
            </w:pPr>
            <w:r w:rsidRPr="0073687C">
              <w:rPr>
                <w:rFonts w:ascii="Times New Roman" w:hAnsi="Times New Roman" w:cs="Times New Roman"/>
                <w:sz w:val="20"/>
                <w:szCs w:val="24"/>
              </w:rPr>
              <w:t>C. Curriculum</w:t>
            </w:r>
          </w:p>
        </w:tc>
        <w:tc>
          <w:tcPr>
            <w:tcW w:w="720" w:type="dxa"/>
            <w:tcBorders>
              <w:top w:val="nil"/>
              <w:left w:val="single" w:sz="16" w:space="0" w:color="000000"/>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.032</w:t>
            </w:r>
          </w:p>
        </w:tc>
        <w:tc>
          <w:tcPr>
            <w:tcW w:w="72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.116</w:t>
            </w:r>
          </w:p>
        </w:tc>
        <w:tc>
          <w:tcPr>
            <w:tcW w:w="126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.029</w:t>
            </w:r>
          </w:p>
        </w:tc>
        <w:tc>
          <w:tcPr>
            <w:tcW w:w="720" w:type="dxa"/>
            <w:tcBorders>
              <w:top w:val="nil"/>
              <w:bottom w:val="nil"/>
            </w:tcBorders>
            <w:shd w:val="clear" w:color="auto" w:fill="FFFFFF"/>
            <w:vAlign w:val="center"/>
          </w:tcPr>
          <w:p w:rsidR="0073687C" w:rsidRPr="0073687C" w:rsidRDefault="0073687C" w:rsidP="001F1E12">
            <w:pPr>
              <w:ind w:left="-10"/>
              <w:jc w:val="center"/>
              <w:rPr>
                <w:rFonts w:ascii="Times New Roman" w:hAnsi="Times New Roman" w:cs="Times New Roman"/>
                <w:sz w:val="20"/>
                <w:szCs w:val="24"/>
              </w:rPr>
            </w:pPr>
            <w:r w:rsidRPr="0073687C">
              <w:rPr>
                <w:rFonts w:ascii="Times New Roman" w:hAnsi="Times New Roman" w:cs="Times New Roman"/>
                <w:sz w:val="20"/>
                <w:szCs w:val="24"/>
              </w:rPr>
              <w:t>.277</w:t>
            </w:r>
          </w:p>
        </w:tc>
        <w:tc>
          <w:tcPr>
            <w:tcW w:w="72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.782</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FR</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NS</w:t>
            </w:r>
          </w:p>
        </w:tc>
      </w:tr>
      <w:tr w:rsidR="001F1E12" w:rsidRPr="0073687C" w:rsidTr="00934CD3">
        <w:trPr>
          <w:gridAfter w:val="1"/>
          <w:wAfter w:w="2432" w:type="dxa"/>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73687C" w:rsidRPr="0073687C" w:rsidRDefault="0073687C" w:rsidP="00F374AF">
            <w:pPr>
              <w:ind w:left="-540"/>
              <w:rPr>
                <w:rFonts w:ascii="Times New Roman" w:hAnsi="Times New Roman" w:cs="Times New Roman"/>
                <w:sz w:val="20"/>
                <w:szCs w:val="24"/>
              </w:rPr>
            </w:pPr>
          </w:p>
        </w:tc>
        <w:tc>
          <w:tcPr>
            <w:tcW w:w="2880" w:type="dxa"/>
            <w:tcBorders>
              <w:top w:val="nil"/>
              <w:left w:val="nil"/>
              <w:bottom w:val="nil"/>
              <w:right w:val="single" w:sz="16" w:space="0" w:color="000000"/>
            </w:tcBorders>
            <w:shd w:val="clear" w:color="auto" w:fill="FFFFFF"/>
            <w:vAlign w:val="center"/>
          </w:tcPr>
          <w:p w:rsidR="0073687C" w:rsidRPr="0073687C" w:rsidRDefault="0073687C" w:rsidP="001F1E12">
            <w:pPr>
              <w:rPr>
                <w:rFonts w:ascii="Times New Roman" w:hAnsi="Times New Roman" w:cs="Times New Roman"/>
                <w:sz w:val="20"/>
                <w:szCs w:val="24"/>
              </w:rPr>
            </w:pPr>
            <w:r w:rsidRPr="0073687C">
              <w:rPr>
                <w:rFonts w:ascii="Times New Roman" w:hAnsi="Times New Roman" w:cs="Times New Roman"/>
                <w:sz w:val="20"/>
                <w:szCs w:val="24"/>
              </w:rPr>
              <w:t>D. Student Services</w:t>
            </w:r>
          </w:p>
        </w:tc>
        <w:tc>
          <w:tcPr>
            <w:tcW w:w="720" w:type="dxa"/>
            <w:tcBorders>
              <w:top w:val="nil"/>
              <w:left w:val="single" w:sz="16" w:space="0" w:color="000000"/>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.241</w:t>
            </w:r>
          </w:p>
        </w:tc>
        <w:tc>
          <w:tcPr>
            <w:tcW w:w="72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.111</w:t>
            </w:r>
          </w:p>
        </w:tc>
        <w:tc>
          <w:tcPr>
            <w:tcW w:w="126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.210</w:t>
            </w:r>
          </w:p>
        </w:tc>
        <w:tc>
          <w:tcPr>
            <w:tcW w:w="720" w:type="dxa"/>
            <w:tcBorders>
              <w:top w:val="nil"/>
              <w:bottom w:val="nil"/>
            </w:tcBorders>
            <w:shd w:val="clear" w:color="auto" w:fill="FFFFFF"/>
            <w:vAlign w:val="center"/>
          </w:tcPr>
          <w:p w:rsidR="0073687C" w:rsidRPr="0073687C" w:rsidRDefault="0073687C" w:rsidP="001F1E12">
            <w:pPr>
              <w:ind w:left="-10"/>
              <w:jc w:val="center"/>
              <w:rPr>
                <w:rFonts w:ascii="Times New Roman" w:hAnsi="Times New Roman" w:cs="Times New Roman"/>
                <w:sz w:val="20"/>
                <w:szCs w:val="24"/>
              </w:rPr>
            </w:pPr>
            <w:r w:rsidRPr="0073687C">
              <w:rPr>
                <w:rFonts w:ascii="Times New Roman" w:hAnsi="Times New Roman" w:cs="Times New Roman"/>
                <w:sz w:val="20"/>
                <w:szCs w:val="24"/>
              </w:rPr>
              <w:t>2.182</w:t>
            </w:r>
          </w:p>
        </w:tc>
        <w:tc>
          <w:tcPr>
            <w:tcW w:w="72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.030</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R</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S</w:t>
            </w:r>
          </w:p>
        </w:tc>
      </w:tr>
      <w:tr w:rsidR="001F1E12" w:rsidRPr="0073687C" w:rsidTr="00934CD3">
        <w:trPr>
          <w:gridAfter w:val="1"/>
          <w:wAfter w:w="2432" w:type="dxa"/>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73687C" w:rsidRPr="0073687C" w:rsidRDefault="0073687C" w:rsidP="00F374AF">
            <w:pPr>
              <w:ind w:left="-540"/>
              <w:rPr>
                <w:rFonts w:ascii="Times New Roman" w:hAnsi="Times New Roman" w:cs="Times New Roman"/>
                <w:sz w:val="20"/>
                <w:szCs w:val="24"/>
              </w:rPr>
            </w:pPr>
          </w:p>
        </w:tc>
        <w:tc>
          <w:tcPr>
            <w:tcW w:w="2880" w:type="dxa"/>
            <w:tcBorders>
              <w:top w:val="nil"/>
              <w:left w:val="nil"/>
              <w:bottom w:val="nil"/>
              <w:right w:val="single" w:sz="16" w:space="0" w:color="000000"/>
            </w:tcBorders>
            <w:shd w:val="clear" w:color="auto" w:fill="FFFFFF"/>
            <w:vAlign w:val="center"/>
          </w:tcPr>
          <w:p w:rsidR="0073687C" w:rsidRPr="0073687C" w:rsidRDefault="0073687C" w:rsidP="001F1E12">
            <w:pPr>
              <w:rPr>
                <w:rFonts w:ascii="Times New Roman" w:hAnsi="Times New Roman" w:cs="Times New Roman"/>
                <w:sz w:val="20"/>
                <w:szCs w:val="24"/>
              </w:rPr>
            </w:pPr>
            <w:r w:rsidRPr="0073687C">
              <w:rPr>
                <w:rFonts w:ascii="Times New Roman" w:hAnsi="Times New Roman" w:cs="Times New Roman"/>
                <w:sz w:val="20"/>
                <w:szCs w:val="24"/>
              </w:rPr>
              <w:t>E. Community Extension/Outreach</w:t>
            </w:r>
          </w:p>
        </w:tc>
        <w:tc>
          <w:tcPr>
            <w:tcW w:w="720" w:type="dxa"/>
            <w:tcBorders>
              <w:top w:val="nil"/>
              <w:left w:val="single" w:sz="16" w:space="0" w:color="000000"/>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.067</w:t>
            </w:r>
          </w:p>
        </w:tc>
        <w:tc>
          <w:tcPr>
            <w:tcW w:w="72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.107</w:t>
            </w:r>
          </w:p>
        </w:tc>
        <w:tc>
          <w:tcPr>
            <w:tcW w:w="1260" w:type="dxa"/>
            <w:tcBorders>
              <w:top w:val="nil"/>
              <w:bottom w:val="nil"/>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.065</w:t>
            </w:r>
          </w:p>
        </w:tc>
        <w:tc>
          <w:tcPr>
            <w:tcW w:w="720" w:type="dxa"/>
            <w:tcBorders>
              <w:top w:val="nil"/>
              <w:bottom w:val="nil"/>
            </w:tcBorders>
            <w:shd w:val="clear" w:color="auto" w:fill="FFFFFF"/>
            <w:vAlign w:val="center"/>
          </w:tcPr>
          <w:p w:rsidR="0073687C" w:rsidRPr="0073687C" w:rsidRDefault="0073687C" w:rsidP="001F1E12">
            <w:pPr>
              <w:ind w:left="-10"/>
              <w:jc w:val="center"/>
              <w:rPr>
                <w:rFonts w:ascii="Times New Roman" w:hAnsi="Times New Roman" w:cs="Times New Roman"/>
                <w:sz w:val="20"/>
                <w:szCs w:val="24"/>
              </w:rPr>
            </w:pPr>
            <w:r w:rsidRPr="0073687C">
              <w:rPr>
                <w:rFonts w:ascii="Times New Roman" w:hAnsi="Times New Roman" w:cs="Times New Roman"/>
                <w:sz w:val="20"/>
                <w:szCs w:val="24"/>
              </w:rPr>
              <w:t>.624</w:t>
            </w:r>
          </w:p>
        </w:tc>
        <w:tc>
          <w:tcPr>
            <w:tcW w:w="72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.534</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FR</w:t>
            </w:r>
          </w:p>
        </w:tc>
        <w:tc>
          <w:tcPr>
            <w:tcW w:w="630" w:type="dxa"/>
            <w:tcBorders>
              <w:top w:val="nil"/>
              <w:bottom w:val="nil"/>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NS</w:t>
            </w:r>
          </w:p>
        </w:tc>
      </w:tr>
      <w:tr w:rsidR="001F1E12" w:rsidRPr="0073687C" w:rsidTr="00934CD3">
        <w:trPr>
          <w:gridAfter w:val="1"/>
          <w:wAfter w:w="2432" w:type="dxa"/>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73687C" w:rsidRPr="0073687C" w:rsidRDefault="0073687C" w:rsidP="00F374AF">
            <w:pPr>
              <w:ind w:left="-540"/>
              <w:rPr>
                <w:rFonts w:ascii="Times New Roman" w:hAnsi="Times New Roman" w:cs="Times New Roman"/>
                <w:sz w:val="20"/>
                <w:szCs w:val="24"/>
              </w:rPr>
            </w:pPr>
          </w:p>
        </w:tc>
        <w:tc>
          <w:tcPr>
            <w:tcW w:w="2880" w:type="dxa"/>
            <w:tcBorders>
              <w:top w:val="nil"/>
              <w:left w:val="nil"/>
              <w:bottom w:val="single" w:sz="16" w:space="0" w:color="000000"/>
              <w:right w:val="single" w:sz="16" w:space="0" w:color="000000"/>
            </w:tcBorders>
            <w:shd w:val="clear" w:color="auto" w:fill="FFFFFF"/>
            <w:vAlign w:val="center"/>
          </w:tcPr>
          <w:p w:rsidR="0073687C" w:rsidRPr="0073687C" w:rsidRDefault="0073687C" w:rsidP="001F1E12">
            <w:pPr>
              <w:rPr>
                <w:rFonts w:ascii="Times New Roman" w:hAnsi="Times New Roman" w:cs="Times New Roman"/>
                <w:sz w:val="20"/>
                <w:szCs w:val="24"/>
              </w:rPr>
            </w:pPr>
            <w:r w:rsidRPr="0073687C">
              <w:rPr>
                <w:rFonts w:ascii="Times New Roman" w:hAnsi="Times New Roman" w:cs="Times New Roman"/>
                <w:sz w:val="20"/>
                <w:szCs w:val="24"/>
              </w:rPr>
              <w:t>F. Physical Facilities</w:t>
            </w:r>
          </w:p>
        </w:tc>
        <w:tc>
          <w:tcPr>
            <w:tcW w:w="720" w:type="dxa"/>
            <w:tcBorders>
              <w:top w:val="nil"/>
              <w:left w:val="single" w:sz="16" w:space="0" w:color="000000"/>
              <w:bottom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.198</w:t>
            </w:r>
          </w:p>
        </w:tc>
        <w:tc>
          <w:tcPr>
            <w:tcW w:w="720" w:type="dxa"/>
            <w:tcBorders>
              <w:top w:val="nil"/>
              <w:bottom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.088</w:t>
            </w:r>
          </w:p>
        </w:tc>
        <w:tc>
          <w:tcPr>
            <w:tcW w:w="1260" w:type="dxa"/>
            <w:tcBorders>
              <w:top w:val="nil"/>
              <w:bottom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.218</w:t>
            </w:r>
          </w:p>
        </w:tc>
        <w:tc>
          <w:tcPr>
            <w:tcW w:w="720" w:type="dxa"/>
            <w:tcBorders>
              <w:top w:val="nil"/>
              <w:bottom w:val="single" w:sz="16" w:space="0" w:color="000000"/>
            </w:tcBorders>
            <w:shd w:val="clear" w:color="auto" w:fill="FFFFFF"/>
            <w:vAlign w:val="center"/>
          </w:tcPr>
          <w:p w:rsidR="0073687C" w:rsidRPr="0073687C" w:rsidRDefault="0073687C" w:rsidP="001F1E12">
            <w:pPr>
              <w:ind w:left="-10"/>
              <w:jc w:val="center"/>
              <w:rPr>
                <w:rFonts w:ascii="Times New Roman" w:hAnsi="Times New Roman" w:cs="Times New Roman"/>
                <w:sz w:val="20"/>
                <w:szCs w:val="24"/>
              </w:rPr>
            </w:pPr>
            <w:r w:rsidRPr="0073687C">
              <w:rPr>
                <w:rFonts w:ascii="Times New Roman" w:hAnsi="Times New Roman" w:cs="Times New Roman"/>
                <w:sz w:val="20"/>
                <w:szCs w:val="24"/>
              </w:rPr>
              <w:t>2.238</w:t>
            </w:r>
          </w:p>
        </w:tc>
        <w:tc>
          <w:tcPr>
            <w:tcW w:w="720" w:type="dxa"/>
            <w:tcBorders>
              <w:top w:val="nil"/>
              <w:bottom w:val="single" w:sz="16" w:space="0" w:color="000000"/>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.026</w:t>
            </w:r>
          </w:p>
        </w:tc>
        <w:tc>
          <w:tcPr>
            <w:tcW w:w="630" w:type="dxa"/>
            <w:tcBorders>
              <w:top w:val="nil"/>
              <w:bottom w:val="single" w:sz="16" w:space="0" w:color="000000"/>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R</w:t>
            </w:r>
          </w:p>
        </w:tc>
        <w:tc>
          <w:tcPr>
            <w:tcW w:w="630" w:type="dxa"/>
            <w:tcBorders>
              <w:top w:val="nil"/>
              <w:bottom w:val="single" w:sz="16" w:space="0" w:color="000000"/>
              <w:right w:val="single" w:sz="16" w:space="0" w:color="000000"/>
            </w:tcBorders>
            <w:shd w:val="clear" w:color="auto" w:fill="FFFFFF"/>
            <w:vAlign w:val="center"/>
          </w:tcPr>
          <w:p w:rsidR="0073687C" w:rsidRPr="0073687C" w:rsidRDefault="0073687C" w:rsidP="001F1E12">
            <w:pPr>
              <w:jc w:val="center"/>
              <w:rPr>
                <w:rFonts w:ascii="Times New Roman" w:hAnsi="Times New Roman" w:cs="Times New Roman"/>
                <w:sz w:val="20"/>
                <w:szCs w:val="24"/>
              </w:rPr>
            </w:pPr>
            <w:r w:rsidRPr="0073687C">
              <w:rPr>
                <w:rFonts w:ascii="Times New Roman" w:hAnsi="Times New Roman" w:cs="Times New Roman"/>
                <w:sz w:val="20"/>
                <w:szCs w:val="24"/>
              </w:rPr>
              <w:t>S</w:t>
            </w:r>
          </w:p>
        </w:tc>
      </w:tr>
      <w:tr w:rsidR="0073687C" w:rsidRPr="00D67A50" w:rsidTr="00934CD3">
        <w:trPr>
          <w:cantSplit/>
        </w:trPr>
        <w:tc>
          <w:tcPr>
            <w:tcW w:w="10802" w:type="dxa"/>
            <w:gridSpan w:val="10"/>
            <w:tcBorders>
              <w:top w:val="nil"/>
              <w:left w:val="nil"/>
              <w:bottom w:val="nil"/>
              <w:right w:val="nil"/>
            </w:tcBorders>
            <w:shd w:val="clear" w:color="auto" w:fill="FFFFFF"/>
          </w:tcPr>
          <w:p w:rsidR="0073687C" w:rsidRPr="0073687C" w:rsidRDefault="0073687C" w:rsidP="001F1E12">
            <w:pPr>
              <w:rPr>
                <w:rFonts w:ascii="Times New Roman" w:hAnsi="Times New Roman" w:cs="Times New Roman"/>
                <w:sz w:val="20"/>
                <w:szCs w:val="24"/>
              </w:rPr>
            </w:pPr>
            <w:r w:rsidRPr="0073687C">
              <w:rPr>
                <w:rFonts w:ascii="Times New Roman" w:hAnsi="Times New Roman" w:cs="Times New Roman"/>
                <w:sz w:val="20"/>
                <w:szCs w:val="24"/>
              </w:rPr>
              <w:t>a. Dependent Variable: Capacity Building</w:t>
            </w:r>
          </w:p>
        </w:tc>
      </w:tr>
    </w:tbl>
    <w:p w:rsidR="00876328" w:rsidRDefault="009B2C42" w:rsidP="00EC0BF1">
      <w:pPr>
        <w:autoSpaceDE w:val="0"/>
        <w:autoSpaceDN w:val="0"/>
        <w:adjustRightInd w:val="0"/>
        <w:spacing w:after="0" w:line="360" w:lineRule="auto"/>
        <w:ind w:firstLine="720"/>
        <w:jc w:val="both"/>
        <w:rPr>
          <w:rFonts w:ascii="Times New Roman" w:hAnsi="Times New Roman" w:cs="Times New Roman"/>
          <w:sz w:val="20"/>
          <w:szCs w:val="24"/>
        </w:rPr>
      </w:pPr>
      <w:r>
        <w:rPr>
          <w:rFonts w:ascii="Times New Roman" w:hAnsi="Times New Roman" w:cs="Times New Roman"/>
          <w:sz w:val="20"/>
          <w:szCs w:val="24"/>
        </w:rPr>
        <w:t>As re</w:t>
      </w:r>
      <w:r w:rsidR="00876328" w:rsidRPr="00876328">
        <w:rPr>
          <w:rFonts w:ascii="Times New Roman" w:hAnsi="Times New Roman" w:cs="Times New Roman"/>
          <w:sz w:val="20"/>
          <w:szCs w:val="24"/>
        </w:rPr>
        <w:t>veal</w:t>
      </w:r>
      <w:r>
        <w:rPr>
          <w:rFonts w:ascii="Times New Roman" w:hAnsi="Times New Roman" w:cs="Times New Roman"/>
          <w:sz w:val="20"/>
          <w:szCs w:val="24"/>
        </w:rPr>
        <w:t>ed in Table 7</w:t>
      </w:r>
      <w:r w:rsidR="00876328" w:rsidRPr="00876328">
        <w:rPr>
          <w:rFonts w:ascii="Times New Roman" w:hAnsi="Times New Roman" w:cs="Times New Roman"/>
          <w:sz w:val="20"/>
          <w:szCs w:val="24"/>
        </w:rPr>
        <w:t xml:space="preserve"> the computed P-values on the regression analysis between the level of compliance in terms of student services, physical facilities and other factors; and capacity building of State Universities and Colleges (SUCs), Local Universities and Colleges (LUCs) and Private Higher Education Institutions (PHEIs)</w:t>
      </w:r>
      <w:r w:rsidR="00876328" w:rsidRPr="00876328">
        <w:rPr>
          <w:rFonts w:ascii="Times New Roman" w:hAnsi="Times New Roman" w:cs="Times New Roman"/>
          <w:b/>
          <w:sz w:val="20"/>
          <w:szCs w:val="24"/>
        </w:rPr>
        <w:t xml:space="preserve"> </w:t>
      </w:r>
      <w:r w:rsidR="00876328" w:rsidRPr="00876328">
        <w:rPr>
          <w:rFonts w:ascii="Times New Roman" w:hAnsi="Times New Roman" w:cs="Times New Roman"/>
          <w:sz w:val="20"/>
          <w:szCs w:val="24"/>
        </w:rPr>
        <w:t xml:space="preserve">are 0.030, 0.026 and 0.000, respectively which is lower than 0.05 level of significance.  On the other hand, governance and management, quality of teaching and research </w:t>
      </w:r>
      <w:r w:rsidR="00876328" w:rsidRPr="00876328">
        <w:rPr>
          <w:rFonts w:ascii="Times New Roman" w:hAnsi="Times New Roman" w:cs="Times New Roman"/>
          <w:sz w:val="20"/>
          <w:szCs w:val="24"/>
        </w:rPr>
        <w:lastRenderedPageBreak/>
        <w:t>faculty, curriculum, and community extension/outreach have p-values of 0.186, 0.447, 0.782 and 0.534 respectively which are higher than the 0.05 level of significance.</w:t>
      </w:r>
    </w:p>
    <w:p w:rsidR="00876328" w:rsidRPr="00876328" w:rsidRDefault="00876328" w:rsidP="00EC0BF1">
      <w:pPr>
        <w:autoSpaceDE w:val="0"/>
        <w:autoSpaceDN w:val="0"/>
        <w:adjustRightInd w:val="0"/>
        <w:spacing w:after="0" w:line="360" w:lineRule="auto"/>
        <w:ind w:firstLine="720"/>
        <w:jc w:val="both"/>
        <w:rPr>
          <w:rFonts w:ascii="Times New Roman" w:hAnsi="Times New Roman" w:cs="Times New Roman"/>
          <w:sz w:val="20"/>
          <w:szCs w:val="24"/>
        </w:rPr>
      </w:pPr>
    </w:p>
    <w:p w:rsidR="00934CD3" w:rsidRDefault="00876328" w:rsidP="00EC0BF1">
      <w:pPr>
        <w:autoSpaceDE w:val="0"/>
        <w:autoSpaceDN w:val="0"/>
        <w:adjustRightInd w:val="0"/>
        <w:spacing w:after="0" w:line="360" w:lineRule="auto"/>
        <w:ind w:firstLine="720"/>
        <w:jc w:val="both"/>
        <w:rPr>
          <w:rFonts w:ascii="Times New Roman" w:hAnsi="Times New Roman" w:cs="Times New Roman"/>
          <w:sz w:val="20"/>
          <w:szCs w:val="24"/>
        </w:rPr>
      </w:pPr>
      <w:r w:rsidRPr="00876328">
        <w:rPr>
          <w:rFonts w:ascii="Times New Roman" w:hAnsi="Times New Roman" w:cs="Times New Roman"/>
          <w:sz w:val="20"/>
          <w:szCs w:val="24"/>
        </w:rPr>
        <w:t>The results indicated that student services, physical facilities and other factors are significant predictors of capacity building State Universities and Colleges (SUCs), Local Universities and Colleges (LUCs) and Private Higher Education Institutions (PHEIs), while governance and management, quality of teaching and research faculty, curriculum, and community extension/outreach are not.  Thus, there is a need for the three categories of higher education institutions to strengthen the compliance in student services, physical facilities and other factors such as linkages and library facilities in order to attain achievement of capacity building.</w:t>
      </w:r>
    </w:p>
    <w:p w:rsidR="00EC0BF1" w:rsidRPr="00EC0BF1" w:rsidRDefault="00EC0BF1" w:rsidP="00EC0BF1">
      <w:pPr>
        <w:autoSpaceDE w:val="0"/>
        <w:autoSpaceDN w:val="0"/>
        <w:adjustRightInd w:val="0"/>
        <w:spacing w:after="0" w:line="360" w:lineRule="auto"/>
        <w:ind w:firstLine="720"/>
        <w:jc w:val="both"/>
        <w:rPr>
          <w:rFonts w:ascii="Times New Roman" w:hAnsi="Times New Roman" w:cs="Times New Roman"/>
          <w:sz w:val="20"/>
          <w:szCs w:val="24"/>
        </w:rPr>
      </w:pPr>
    </w:p>
    <w:p w:rsidR="00876328" w:rsidRPr="00876328" w:rsidRDefault="003566EE" w:rsidP="00934CD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Table 8</w:t>
      </w:r>
    </w:p>
    <w:p w:rsidR="00876328" w:rsidRPr="00876328" w:rsidRDefault="00876328" w:rsidP="00934CD3">
      <w:pPr>
        <w:autoSpaceDE w:val="0"/>
        <w:autoSpaceDN w:val="0"/>
        <w:adjustRightInd w:val="0"/>
        <w:jc w:val="center"/>
        <w:rPr>
          <w:rFonts w:ascii="Times New Roman" w:hAnsi="Times New Roman" w:cs="Times New Roman"/>
          <w:b/>
          <w:sz w:val="20"/>
          <w:szCs w:val="20"/>
        </w:rPr>
      </w:pPr>
      <w:r w:rsidRPr="00876328">
        <w:rPr>
          <w:rFonts w:ascii="Times New Roman" w:hAnsi="Times New Roman" w:cs="Times New Roman"/>
          <w:b/>
          <w:sz w:val="20"/>
          <w:szCs w:val="20"/>
        </w:rPr>
        <w:t xml:space="preserve">Computed Coefficients, t-values, Probability Values and Decision on the Regression Analysis </w:t>
      </w:r>
      <w:proofErr w:type="gramStart"/>
      <w:r w:rsidRPr="00876328">
        <w:rPr>
          <w:rFonts w:ascii="Times New Roman" w:hAnsi="Times New Roman" w:cs="Times New Roman"/>
          <w:b/>
          <w:sz w:val="20"/>
          <w:szCs w:val="20"/>
        </w:rPr>
        <w:t>Between</w:t>
      </w:r>
      <w:proofErr w:type="gramEnd"/>
      <w:r w:rsidRPr="00876328">
        <w:rPr>
          <w:rFonts w:ascii="Times New Roman" w:hAnsi="Times New Roman" w:cs="Times New Roman"/>
          <w:b/>
          <w:sz w:val="20"/>
          <w:szCs w:val="20"/>
        </w:rPr>
        <w:t xml:space="preserve"> the Level of Compliance and Achievement with Respect to Excellence of State Universities and Colleges (SUCs), Local Universities and Colleges (LUCs) and Private Higher Education Institutions (PHEIs)</w:t>
      </w:r>
      <w:r>
        <w:rPr>
          <w:rFonts w:ascii="Times New Roman" w:hAnsi="Times New Roman" w:cs="Times New Roman"/>
          <w:b/>
          <w:sz w:val="20"/>
          <w:szCs w:val="20"/>
        </w:rPr>
        <w:t xml:space="preserve"> </w:t>
      </w:r>
    </w:p>
    <w:tbl>
      <w:tblPr>
        <w:tblW w:w="8010" w:type="dxa"/>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2300"/>
        <w:gridCol w:w="810"/>
        <w:gridCol w:w="850"/>
        <w:gridCol w:w="1260"/>
        <w:gridCol w:w="630"/>
        <w:gridCol w:w="630"/>
        <w:gridCol w:w="630"/>
        <w:gridCol w:w="630"/>
      </w:tblGrid>
      <w:tr w:rsidR="00876328" w:rsidRPr="00876328" w:rsidTr="00934CD3">
        <w:trPr>
          <w:cantSplit/>
        </w:trPr>
        <w:tc>
          <w:tcPr>
            <w:tcW w:w="2570" w:type="dxa"/>
            <w:gridSpan w:val="2"/>
            <w:vMerge w:val="restart"/>
            <w:tcBorders>
              <w:top w:val="single" w:sz="16" w:space="0" w:color="000000"/>
              <w:left w:val="single" w:sz="16" w:space="0" w:color="000000"/>
              <w:bottom w:val="nil"/>
              <w:right w:val="nil"/>
            </w:tcBorders>
            <w:shd w:val="clear" w:color="auto" w:fill="FFFFFF"/>
            <w:vAlign w:val="center"/>
          </w:tcPr>
          <w:p w:rsidR="00876328" w:rsidRPr="00876328" w:rsidRDefault="00876328" w:rsidP="00FC6D57">
            <w:pPr>
              <w:jc w:val="center"/>
              <w:rPr>
                <w:rFonts w:ascii="Times New Roman" w:hAnsi="Times New Roman" w:cs="Times New Roman"/>
                <w:b/>
                <w:sz w:val="20"/>
                <w:szCs w:val="20"/>
              </w:rPr>
            </w:pPr>
            <w:r w:rsidRPr="00876328">
              <w:rPr>
                <w:rFonts w:ascii="Times New Roman" w:hAnsi="Times New Roman" w:cs="Times New Roman"/>
                <w:b/>
                <w:sz w:val="20"/>
                <w:szCs w:val="20"/>
              </w:rPr>
              <w:t>Model</w:t>
            </w:r>
          </w:p>
        </w:tc>
        <w:tc>
          <w:tcPr>
            <w:tcW w:w="1660" w:type="dxa"/>
            <w:gridSpan w:val="2"/>
            <w:tcBorders>
              <w:top w:val="single" w:sz="16" w:space="0" w:color="000000"/>
              <w:lef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b/>
                <w:sz w:val="20"/>
                <w:szCs w:val="20"/>
              </w:rPr>
            </w:pPr>
            <w:r w:rsidRPr="00876328">
              <w:rPr>
                <w:rFonts w:ascii="Times New Roman" w:hAnsi="Times New Roman" w:cs="Times New Roman"/>
                <w:b/>
                <w:sz w:val="20"/>
                <w:szCs w:val="20"/>
              </w:rPr>
              <w:t>Unstandardized Coefficients</w:t>
            </w:r>
          </w:p>
        </w:tc>
        <w:tc>
          <w:tcPr>
            <w:tcW w:w="1260" w:type="dxa"/>
            <w:tcBorders>
              <w:top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b/>
                <w:sz w:val="20"/>
                <w:szCs w:val="20"/>
              </w:rPr>
            </w:pPr>
            <w:r w:rsidRPr="00876328">
              <w:rPr>
                <w:rFonts w:ascii="Times New Roman" w:hAnsi="Times New Roman" w:cs="Times New Roman"/>
                <w:b/>
                <w:sz w:val="20"/>
                <w:szCs w:val="20"/>
              </w:rPr>
              <w:t>Standardized Coefficients</w:t>
            </w:r>
          </w:p>
        </w:tc>
        <w:tc>
          <w:tcPr>
            <w:tcW w:w="630" w:type="dxa"/>
            <w:vMerge w:val="restart"/>
            <w:tcBorders>
              <w:top w:val="single" w:sz="16" w:space="0" w:color="000000"/>
            </w:tcBorders>
            <w:shd w:val="clear" w:color="auto" w:fill="FFFFFF"/>
            <w:vAlign w:val="center"/>
          </w:tcPr>
          <w:p w:rsidR="00876328" w:rsidRPr="00876328" w:rsidRDefault="00876328" w:rsidP="00FC6D57">
            <w:pPr>
              <w:ind w:left="-10"/>
              <w:jc w:val="center"/>
              <w:rPr>
                <w:rFonts w:ascii="Times New Roman" w:hAnsi="Times New Roman" w:cs="Times New Roman"/>
                <w:b/>
                <w:sz w:val="20"/>
                <w:szCs w:val="20"/>
              </w:rPr>
            </w:pPr>
            <w:r w:rsidRPr="00876328">
              <w:rPr>
                <w:rFonts w:ascii="Times New Roman" w:hAnsi="Times New Roman" w:cs="Times New Roman"/>
                <w:b/>
                <w:sz w:val="20"/>
                <w:szCs w:val="20"/>
              </w:rPr>
              <w:t>t</w:t>
            </w:r>
          </w:p>
        </w:tc>
        <w:tc>
          <w:tcPr>
            <w:tcW w:w="630" w:type="dxa"/>
            <w:vMerge w:val="restart"/>
            <w:tcBorders>
              <w:top w:val="single" w:sz="16" w:space="0" w:color="000000"/>
              <w:right w:val="single" w:sz="16" w:space="0" w:color="000000"/>
            </w:tcBorders>
            <w:shd w:val="clear" w:color="auto" w:fill="FFFFFF"/>
            <w:vAlign w:val="center"/>
          </w:tcPr>
          <w:p w:rsidR="00876328" w:rsidRPr="00876328" w:rsidRDefault="00876328" w:rsidP="00FC6D57">
            <w:pPr>
              <w:ind w:left="90"/>
              <w:jc w:val="center"/>
              <w:rPr>
                <w:rFonts w:ascii="Times New Roman" w:hAnsi="Times New Roman" w:cs="Times New Roman"/>
                <w:b/>
                <w:sz w:val="20"/>
                <w:szCs w:val="20"/>
              </w:rPr>
            </w:pPr>
            <w:r w:rsidRPr="00876328">
              <w:rPr>
                <w:rFonts w:ascii="Times New Roman" w:hAnsi="Times New Roman" w:cs="Times New Roman"/>
                <w:b/>
                <w:sz w:val="20"/>
                <w:szCs w:val="20"/>
              </w:rPr>
              <w:t>Sig.</w:t>
            </w:r>
          </w:p>
        </w:tc>
        <w:tc>
          <w:tcPr>
            <w:tcW w:w="630" w:type="dxa"/>
            <w:vMerge w:val="restart"/>
            <w:tcBorders>
              <w:top w:val="single" w:sz="16" w:space="0" w:color="000000"/>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b/>
                <w:sz w:val="20"/>
                <w:szCs w:val="20"/>
              </w:rPr>
            </w:pPr>
            <w:r w:rsidRPr="00876328">
              <w:rPr>
                <w:rFonts w:ascii="Times New Roman" w:hAnsi="Times New Roman" w:cs="Times New Roman"/>
                <w:b/>
                <w:sz w:val="20"/>
                <w:szCs w:val="20"/>
              </w:rPr>
              <w:t>Ho</w:t>
            </w:r>
          </w:p>
        </w:tc>
        <w:tc>
          <w:tcPr>
            <w:tcW w:w="630" w:type="dxa"/>
            <w:vMerge w:val="restart"/>
            <w:tcBorders>
              <w:top w:val="single" w:sz="16" w:space="0" w:color="000000"/>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b/>
                <w:sz w:val="20"/>
                <w:szCs w:val="20"/>
              </w:rPr>
            </w:pPr>
            <w:r w:rsidRPr="00876328">
              <w:rPr>
                <w:rFonts w:ascii="Times New Roman" w:hAnsi="Times New Roman" w:cs="Times New Roman"/>
                <w:b/>
                <w:sz w:val="20"/>
                <w:szCs w:val="20"/>
              </w:rPr>
              <w:t>VI</w:t>
            </w:r>
          </w:p>
        </w:tc>
      </w:tr>
      <w:tr w:rsidR="00876328" w:rsidRPr="00876328" w:rsidTr="00934CD3">
        <w:trPr>
          <w:cantSplit/>
        </w:trPr>
        <w:tc>
          <w:tcPr>
            <w:tcW w:w="2570" w:type="dxa"/>
            <w:gridSpan w:val="2"/>
            <w:vMerge/>
            <w:tcBorders>
              <w:top w:val="single" w:sz="16" w:space="0" w:color="000000"/>
              <w:left w:val="single" w:sz="16" w:space="0" w:color="000000"/>
              <w:bottom w:val="nil"/>
              <w:right w:val="nil"/>
            </w:tcBorders>
            <w:shd w:val="clear" w:color="auto" w:fill="FFFFFF"/>
          </w:tcPr>
          <w:p w:rsidR="00876328" w:rsidRPr="00876328" w:rsidRDefault="00876328" w:rsidP="00F374AF">
            <w:pPr>
              <w:ind w:left="-540"/>
              <w:rPr>
                <w:rFonts w:ascii="Times New Roman" w:hAnsi="Times New Roman" w:cs="Times New Roman"/>
                <w:sz w:val="20"/>
                <w:szCs w:val="20"/>
              </w:rPr>
            </w:pPr>
          </w:p>
        </w:tc>
        <w:tc>
          <w:tcPr>
            <w:tcW w:w="810" w:type="dxa"/>
            <w:tcBorders>
              <w:left w:val="single" w:sz="16" w:space="0" w:color="000000"/>
              <w:bottom w:val="single" w:sz="16" w:space="0" w:color="000000"/>
            </w:tcBorders>
            <w:shd w:val="clear" w:color="auto" w:fill="FFFFFF"/>
            <w:vAlign w:val="center"/>
          </w:tcPr>
          <w:p w:rsidR="00876328" w:rsidRPr="00876328" w:rsidRDefault="00876328" w:rsidP="00FC6D57">
            <w:pPr>
              <w:ind w:left="-10"/>
              <w:jc w:val="center"/>
              <w:rPr>
                <w:rFonts w:ascii="Times New Roman" w:hAnsi="Times New Roman" w:cs="Times New Roman"/>
                <w:b/>
                <w:sz w:val="20"/>
                <w:szCs w:val="20"/>
              </w:rPr>
            </w:pPr>
            <w:r w:rsidRPr="00876328">
              <w:rPr>
                <w:rFonts w:ascii="Times New Roman" w:hAnsi="Times New Roman" w:cs="Times New Roman"/>
                <w:b/>
                <w:sz w:val="20"/>
                <w:szCs w:val="20"/>
              </w:rPr>
              <w:t>B</w:t>
            </w:r>
          </w:p>
        </w:tc>
        <w:tc>
          <w:tcPr>
            <w:tcW w:w="850" w:type="dxa"/>
            <w:tcBorders>
              <w:bottom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b/>
                <w:sz w:val="20"/>
                <w:szCs w:val="20"/>
              </w:rPr>
            </w:pPr>
            <w:r w:rsidRPr="00876328">
              <w:rPr>
                <w:rFonts w:ascii="Times New Roman" w:hAnsi="Times New Roman" w:cs="Times New Roman"/>
                <w:b/>
                <w:sz w:val="20"/>
                <w:szCs w:val="20"/>
              </w:rPr>
              <w:t>Std. Error</w:t>
            </w:r>
          </w:p>
        </w:tc>
        <w:tc>
          <w:tcPr>
            <w:tcW w:w="1260" w:type="dxa"/>
            <w:tcBorders>
              <w:bottom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b/>
                <w:sz w:val="20"/>
                <w:szCs w:val="20"/>
              </w:rPr>
            </w:pPr>
            <w:r w:rsidRPr="00876328">
              <w:rPr>
                <w:rFonts w:ascii="Times New Roman" w:hAnsi="Times New Roman" w:cs="Times New Roman"/>
                <w:b/>
                <w:sz w:val="20"/>
                <w:szCs w:val="20"/>
              </w:rPr>
              <w:t>Beta</w:t>
            </w:r>
          </w:p>
        </w:tc>
        <w:tc>
          <w:tcPr>
            <w:tcW w:w="630" w:type="dxa"/>
            <w:vMerge/>
            <w:tcBorders>
              <w:top w:val="single" w:sz="16" w:space="0" w:color="000000"/>
            </w:tcBorders>
            <w:shd w:val="clear" w:color="auto" w:fill="FFFFFF"/>
          </w:tcPr>
          <w:p w:rsidR="00876328" w:rsidRPr="00876328" w:rsidRDefault="00876328" w:rsidP="00F374AF">
            <w:pPr>
              <w:ind w:left="-540"/>
              <w:rPr>
                <w:rFonts w:ascii="Times New Roman" w:hAnsi="Times New Roman" w:cs="Times New Roman"/>
                <w:sz w:val="20"/>
                <w:szCs w:val="20"/>
              </w:rPr>
            </w:pPr>
          </w:p>
        </w:tc>
        <w:tc>
          <w:tcPr>
            <w:tcW w:w="630" w:type="dxa"/>
            <w:vMerge/>
            <w:tcBorders>
              <w:top w:val="single" w:sz="16" w:space="0" w:color="000000"/>
              <w:right w:val="single" w:sz="16" w:space="0" w:color="000000"/>
            </w:tcBorders>
            <w:shd w:val="clear" w:color="auto" w:fill="FFFFFF"/>
          </w:tcPr>
          <w:p w:rsidR="00876328" w:rsidRPr="00876328" w:rsidRDefault="00876328" w:rsidP="00F374AF">
            <w:pPr>
              <w:ind w:left="-540"/>
              <w:rPr>
                <w:rFonts w:ascii="Times New Roman" w:hAnsi="Times New Roman" w:cs="Times New Roman"/>
                <w:sz w:val="20"/>
                <w:szCs w:val="20"/>
              </w:rPr>
            </w:pPr>
          </w:p>
        </w:tc>
        <w:tc>
          <w:tcPr>
            <w:tcW w:w="630" w:type="dxa"/>
            <w:vMerge/>
            <w:tcBorders>
              <w:right w:val="single" w:sz="16" w:space="0" w:color="000000"/>
            </w:tcBorders>
            <w:shd w:val="clear" w:color="auto" w:fill="FFFFFF"/>
          </w:tcPr>
          <w:p w:rsidR="00876328" w:rsidRPr="00876328" w:rsidRDefault="00876328" w:rsidP="00F374AF">
            <w:pPr>
              <w:ind w:left="-540"/>
              <w:rPr>
                <w:rFonts w:ascii="Times New Roman" w:hAnsi="Times New Roman" w:cs="Times New Roman"/>
                <w:sz w:val="20"/>
                <w:szCs w:val="20"/>
              </w:rPr>
            </w:pPr>
          </w:p>
        </w:tc>
        <w:tc>
          <w:tcPr>
            <w:tcW w:w="630" w:type="dxa"/>
            <w:vMerge/>
            <w:tcBorders>
              <w:right w:val="single" w:sz="16" w:space="0" w:color="000000"/>
            </w:tcBorders>
            <w:shd w:val="clear" w:color="auto" w:fill="FFFFFF"/>
          </w:tcPr>
          <w:p w:rsidR="00876328" w:rsidRPr="00876328" w:rsidRDefault="00876328" w:rsidP="00F374AF">
            <w:pPr>
              <w:ind w:left="-540"/>
              <w:rPr>
                <w:rFonts w:ascii="Times New Roman" w:hAnsi="Times New Roman" w:cs="Times New Roman"/>
                <w:sz w:val="20"/>
                <w:szCs w:val="20"/>
              </w:rPr>
            </w:pPr>
          </w:p>
        </w:tc>
      </w:tr>
      <w:tr w:rsidR="00876328" w:rsidRPr="00876328" w:rsidTr="00934CD3">
        <w:trPr>
          <w:cantSplit/>
        </w:trPr>
        <w:tc>
          <w:tcPr>
            <w:tcW w:w="270" w:type="dxa"/>
            <w:vMerge w:val="restart"/>
            <w:tcBorders>
              <w:top w:val="single" w:sz="16" w:space="0" w:color="000000"/>
              <w:left w:val="single" w:sz="16" w:space="0" w:color="000000"/>
              <w:bottom w:val="single" w:sz="16" w:space="0" w:color="000000"/>
              <w:right w:val="nil"/>
            </w:tcBorders>
            <w:shd w:val="clear" w:color="auto" w:fill="FFFFFF"/>
            <w:vAlign w:val="center"/>
          </w:tcPr>
          <w:p w:rsidR="00876328" w:rsidRPr="00876328" w:rsidRDefault="00FC6D57" w:rsidP="00F374AF">
            <w:pPr>
              <w:ind w:left="-540"/>
              <w:rPr>
                <w:rFonts w:ascii="Times New Roman" w:hAnsi="Times New Roman" w:cs="Times New Roman"/>
                <w:sz w:val="20"/>
                <w:szCs w:val="20"/>
              </w:rPr>
            </w:pPr>
            <w:r>
              <w:rPr>
                <w:rFonts w:ascii="Times New Roman" w:hAnsi="Times New Roman" w:cs="Times New Roman"/>
                <w:sz w:val="20"/>
                <w:szCs w:val="20"/>
              </w:rPr>
              <w:t>W</w:t>
            </w:r>
          </w:p>
        </w:tc>
        <w:tc>
          <w:tcPr>
            <w:tcW w:w="2300" w:type="dxa"/>
            <w:tcBorders>
              <w:top w:val="single" w:sz="16" w:space="0" w:color="000000"/>
              <w:left w:val="nil"/>
              <w:bottom w:val="nil"/>
              <w:right w:val="single" w:sz="16" w:space="0" w:color="000000"/>
            </w:tcBorders>
            <w:shd w:val="clear" w:color="auto" w:fill="FFFFFF"/>
            <w:vAlign w:val="center"/>
          </w:tcPr>
          <w:p w:rsidR="00876328" w:rsidRPr="00876328" w:rsidRDefault="00876328" w:rsidP="00FC6D57">
            <w:pPr>
              <w:rPr>
                <w:rFonts w:ascii="Times New Roman" w:hAnsi="Times New Roman" w:cs="Times New Roman"/>
                <w:sz w:val="20"/>
                <w:szCs w:val="20"/>
              </w:rPr>
            </w:pPr>
            <w:r w:rsidRPr="00876328">
              <w:rPr>
                <w:rFonts w:ascii="Times New Roman" w:hAnsi="Times New Roman" w:cs="Times New Roman"/>
                <w:sz w:val="20"/>
                <w:szCs w:val="20"/>
              </w:rPr>
              <w:t>(Constant)</w:t>
            </w:r>
          </w:p>
        </w:tc>
        <w:tc>
          <w:tcPr>
            <w:tcW w:w="810" w:type="dxa"/>
            <w:tcBorders>
              <w:top w:val="single" w:sz="16" w:space="0" w:color="000000"/>
              <w:left w:val="single" w:sz="16" w:space="0" w:color="000000"/>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2.068</w:t>
            </w:r>
          </w:p>
        </w:tc>
        <w:tc>
          <w:tcPr>
            <w:tcW w:w="850" w:type="dxa"/>
            <w:tcBorders>
              <w:top w:val="single" w:sz="16" w:space="0" w:color="000000"/>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.289</w:t>
            </w:r>
          </w:p>
        </w:tc>
        <w:tc>
          <w:tcPr>
            <w:tcW w:w="1260" w:type="dxa"/>
            <w:tcBorders>
              <w:top w:val="single" w:sz="16" w:space="0" w:color="000000"/>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p>
        </w:tc>
        <w:tc>
          <w:tcPr>
            <w:tcW w:w="630" w:type="dxa"/>
            <w:tcBorders>
              <w:top w:val="single" w:sz="16" w:space="0" w:color="000000"/>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7.156</w:t>
            </w:r>
          </w:p>
        </w:tc>
        <w:tc>
          <w:tcPr>
            <w:tcW w:w="630" w:type="dxa"/>
            <w:tcBorders>
              <w:top w:val="single" w:sz="16" w:space="0" w:color="000000"/>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.000</w:t>
            </w:r>
          </w:p>
        </w:tc>
        <w:tc>
          <w:tcPr>
            <w:tcW w:w="630" w:type="dxa"/>
            <w:tcBorders>
              <w:top w:val="single" w:sz="16" w:space="0" w:color="000000"/>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R</w:t>
            </w:r>
          </w:p>
        </w:tc>
        <w:tc>
          <w:tcPr>
            <w:tcW w:w="630" w:type="dxa"/>
            <w:tcBorders>
              <w:top w:val="single" w:sz="16" w:space="0" w:color="000000"/>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S</w:t>
            </w:r>
          </w:p>
        </w:tc>
      </w:tr>
      <w:tr w:rsidR="00876328" w:rsidRPr="00876328" w:rsidTr="00934CD3">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rsidR="00876328" w:rsidRPr="00876328" w:rsidRDefault="00876328" w:rsidP="00F374AF">
            <w:pPr>
              <w:ind w:left="-540"/>
              <w:rPr>
                <w:rFonts w:ascii="Times New Roman" w:hAnsi="Times New Roman" w:cs="Times New Roman"/>
                <w:sz w:val="20"/>
                <w:szCs w:val="20"/>
              </w:rPr>
            </w:pPr>
          </w:p>
        </w:tc>
        <w:tc>
          <w:tcPr>
            <w:tcW w:w="2300" w:type="dxa"/>
            <w:tcBorders>
              <w:top w:val="nil"/>
              <w:left w:val="nil"/>
              <w:bottom w:val="nil"/>
              <w:right w:val="single" w:sz="16" w:space="0" w:color="000000"/>
            </w:tcBorders>
            <w:shd w:val="clear" w:color="auto" w:fill="FFFFFF"/>
            <w:vAlign w:val="center"/>
          </w:tcPr>
          <w:p w:rsidR="00876328" w:rsidRPr="00876328" w:rsidRDefault="00876328" w:rsidP="00FC6D57">
            <w:pPr>
              <w:rPr>
                <w:rFonts w:ascii="Times New Roman" w:hAnsi="Times New Roman" w:cs="Times New Roman"/>
                <w:sz w:val="20"/>
                <w:szCs w:val="20"/>
              </w:rPr>
            </w:pPr>
            <w:r w:rsidRPr="00876328">
              <w:rPr>
                <w:rFonts w:ascii="Times New Roman" w:hAnsi="Times New Roman" w:cs="Times New Roman"/>
                <w:sz w:val="20"/>
                <w:szCs w:val="20"/>
              </w:rPr>
              <w:t>A. Governance &amp; Management</w:t>
            </w:r>
          </w:p>
        </w:tc>
        <w:tc>
          <w:tcPr>
            <w:tcW w:w="810" w:type="dxa"/>
            <w:tcBorders>
              <w:top w:val="nil"/>
              <w:left w:val="single" w:sz="16" w:space="0" w:color="000000"/>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.131</w:t>
            </w:r>
          </w:p>
        </w:tc>
        <w:tc>
          <w:tcPr>
            <w:tcW w:w="85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.082</w:t>
            </w:r>
          </w:p>
        </w:tc>
        <w:tc>
          <w:tcPr>
            <w:tcW w:w="126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.127</w:t>
            </w:r>
          </w:p>
        </w:tc>
        <w:tc>
          <w:tcPr>
            <w:tcW w:w="630" w:type="dxa"/>
            <w:tcBorders>
              <w:top w:val="nil"/>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1.593</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.113</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FR</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NS</w:t>
            </w:r>
          </w:p>
        </w:tc>
      </w:tr>
      <w:tr w:rsidR="00876328" w:rsidRPr="00876328" w:rsidTr="00934CD3">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rsidR="00876328" w:rsidRPr="00876328" w:rsidRDefault="00876328" w:rsidP="00F374AF">
            <w:pPr>
              <w:ind w:left="-540"/>
              <w:rPr>
                <w:rFonts w:ascii="Times New Roman" w:hAnsi="Times New Roman" w:cs="Times New Roman"/>
                <w:sz w:val="20"/>
                <w:szCs w:val="20"/>
              </w:rPr>
            </w:pPr>
          </w:p>
        </w:tc>
        <w:tc>
          <w:tcPr>
            <w:tcW w:w="2300" w:type="dxa"/>
            <w:tcBorders>
              <w:top w:val="nil"/>
              <w:left w:val="nil"/>
              <w:bottom w:val="nil"/>
              <w:right w:val="single" w:sz="16" w:space="0" w:color="000000"/>
            </w:tcBorders>
            <w:shd w:val="clear" w:color="auto" w:fill="FFFFFF"/>
            <w:vAlign w:val="center"/>
          </w:tcPr>
          <w:p w:rsidR="00876328" w:rsidRPr="00876328" w:rsidRDefault="00876328" w:rsidP="00FC6D57">
            <w:pPr>
              <w:rPr>
                <w:rFonts w:ascii="Times New Roman" w:hAnsi="Times New Roman" w:cs="Times New Roman"/>
                <w:sz w:val="20"/>
                <w:szCs w:val="20"/>
              </w:rPr>
            </w:pPr>
            <w:r w:rsidRPr="00876328">
              <w:rPr>
                <w:rFonts w:ascii="Times New Roman" w:hAnsi="Times New Roman" w:cs="Times New Roman"/>
                <w:sz w:val="20"/>
                <w:szCs w:val="20"/>
              </w:rPr>
              <w:t>B. Quality of Teaching and Research Faculty</w:t>
            </w:r>
          </w:p>
        </w:tc>
        <w:tc>
          <w:tcPr>
            <w:tcW w:w="810" w:type="dxa"/>
            <w:tcBorders>
              <w:top w:val="nil"/>
              <w:left w:val="single" w:sz="16" w:space="0" w:color="000000"/>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.030</w:t>
            </w:r>
          </w:p>
        </w:tc>
        <w:tc>
          <w:tcPr>
            <w:tcW w:w="85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.110</w:t>
            </w:r>
          </w:p>
        </w:tc>
        <w:tc>
          <w:tcPr>
            <w:tcW w:w="126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.026</w:t>
            </w:r>
          </w:p>
        </w:tc>
        <w:tc>
          <w:tcPr>
            <w:tcW w:w="630" w:type="dxa"/>
            <w:tcBorders>
              <w:top w:val="nil"/>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.274</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.784</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FR</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NS</w:t>
            </w:r>
          </w:p>
        </w:tc>
      </w:tr>
      <w:tr w:rsidR="00876328" w:rsidRPr="00876328" w:rsidTr="00934CD3">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rsidR="00876328" w:rsidRPr="00876328" w:rsidRDefault="00876328" w:rsidP="00F374AF">
            <w:pPr>
              <w:ind w:left="-540"/>
              <w:rPr>
                <w:rFonts w:ascii="Times New Roman" w:hAnsi="Times New Roman" w:cs="Times New Roman"/>
                <w:sz w:val="20"/>
                <w:szCs w:val="20"/>
              </w:rPr>
            </w:pPr>
          </w:p>
        </w:tc>
        <w:tc>
          <w:tcPr>
            <w:tcW w:w="2300" w:type="dxa"/>
            <w:tcBorders>
              <w:top w:val="nil"/>
              <w:left w:val="nil"/>
              <w:bottom w:val="nil"/>
              <w:right w:val="single" w:sz="16" w:space="0" w:color="000000"/>
            </w:tcBorders>
            <w:shd w:val="clear" w:color="auto" w:fill="FFFFFF"/>
            <w:vAlign w:val="center"/>
          </w:tcPr>
          <w:p w:rsidR="00876328" w:rsidRPr="00876328" w:rsidRDefault="00876328" w:rsidP="00FC6D57">
            <w:pPr>
              <w:rPr>
                <w:rFonts w:ascii="Times New Roman" w:hAnsi="Times New Roman" w:cs="Times New Roman"/>
                <w:sz w:val="20"/>
                <w:szCs w:val="20"/>
              </w:rPr>
            </w:pPr>
            <w:r w:rsidRPr="00876328">
              <w:rPr>
                <w:rFonts w:ascii="Times New Roman" w:hAnsi="Times New Roman" w:cs="Times New Roman"/>
                <w:sz w:val="20"/>
                <w:szCs w:val="20"/>
              </w:rPr>
              <w:t>C. Curriculum</w:t>
            </w:r>
          </w:p>
        </w:tc>
        <w:tc>
          <w:tcPr>
            <w:tcW w:w="810" w:type="dxa"/>
            <w:tcBorders>
              <w:top w:val="nil"/>
              <w:left w:val="single" w:sz="16" w:space="0" w:color="000000"/>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.017</w:t>
            </w:r>
          </w:p>
        </w:tc>
        <w:tc>
          <w:tcPr>
            <w:tcW w:w="85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.108</w:t>
            </w:r>
          </w:p>
        </w:tc>
        <w:tc>
          <w:tcPr>
            <w:tcW w:w="126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.016</w:t>
            </w:r>
          </w:p>
        </w:tc>
        <w:tc>
          <w:tcPr>
            <w:tcW w:w="630" w:type="dxa"/>
            <w:tcBorders>
              <w:top w:val="nil"/>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.156</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.877</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FR</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NS</w:t>
            </w:r>
          </w:p>
        </w:tc>
      </w:tr>
      <w:tr w:rsidR="00876328" w:rsidRPr="00876328" w:rsidTr="00934CD3">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rsidR="00876328" w:rsidRPr="00876328" w:rsidRDefault="00876328" w:rsidP="00F374AF">
            <w:pPr>
              <w:ind w:left="-540"/>
              <w:rPr>
                <w:rFonts w:ascii="Times New Roman" w:hAnsi="Times New Roman" w:cs="Times New Roman"/>
                <w:sz w:val="20"/>
                <w:szCs w:val="20"/>
              </w:rPr>
            </w:pPr>
          </w:p>
        </w:tc>
        <w:tc>
          <w:tcPr>
            <w:tcW w:w="2300" w:type="dxa"/>
            <w:tcBorders>
              <w:top w:val="nil"/>
              <w:left w:val="nil"/>
              <w:bottom w:val="nil"/>
              <w:right w:val="single" w:sz="16" w:space="0" w:color="000000"/>
            </w:tcBorders>
            <w:shd w:val="clear" w:color="auto" w:fill="FFFFFF"/>
            <w:vAlign w:val="center"/>
          </w:tcPr>
          <w:p w:rsidR="00876328" w:rsidRPr="00876328" w:rsidRDefault="00876328" w:rsidP="00FC6D57">
            <w:pPr>
              <w:rPr>
                <w:rFonts w:ascii="Times New Roman" w:hAnsi="Times New Roman" w:cs="Times New Roman"/>
                <w:sz w:val="20"/>
                <w:szCs w:val="20"/>
              </w:rPr>
            </w:pPr>
            <w:r w:rsidRPr="00876328">
              <w:rPr>
                <w:rFonts w:ascii="Times New Roman" w:hAnsi="Times New Roman" w:cs="Times New Roman"/>
                <w:sz w:val="20"/>
                <w:szCs w:val="20"/>
              </w:rPr>
              <w:t>D. Student Services</w:t>
            </w:r>
          </w:p>
        </w:tc>
        <w:tc>
          <w:tcPr>
            <w:tcW w:w="810" w:type="dxa"/>
            <w:tcBorders>
              <w:top w:val="nil"/>
              <w:left w:val="single" w:sz="16" w:space="0" w:color="000000"/>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.231</w:t>
            </w:r>
          </w:p>
        </w:tc>
        <w:tc>
          <w:tcPr>
            <w:tcW w:w="85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.103</w:t>
            </w:r>
          </w:p>
        </w:tc>
        <w:tc>
          <w:tcPr>
            <w:tcW w:w="126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.209</w:t>
            </w:r>
          </w:p>
        </w:tc>
        <w:tc>
          <w:tcPr>
            <w:tcW w:w="630" w:type="dxa"/>
            <w:tcBorders>
              <w:top w:val="nil"/>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2.251</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.026</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R</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S</w:t>
            </w:r>
          </w:p>
        </w:tc>
      </w:tr>
      <w:tr w:rsidR="00876328" w:rsidRPr="00876328" w:rsidTr="00934CD3">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rsidR="00876328" w:rsidRPr="00876328" w:rsidRDefault="00876328" w:rsidP="00F374AF">
            <w:pPr>
              <w:ind w:left="-540"/>
              <w:rPr>
                <w:rFonts w:ascii="Times New Roman" w:hAnsi="Times New Roman" w:cs="Times New Roman"/>
                <w:sz w:val="20"/>
                <w:szCs w:val="20"/>
              </w:rPr>
            </w:pPr>
          </w:p>
        </w:tc>
        <w:tc>
          <w:tcPr>
            <w:tcW w:w="2300" w:type="dxa"/>
            <w:tcBorders>
              <w:top w:val="nil"/>
              <w:left w:val="nil"/>
              <w:bottom w:val="nil"/>
              <w:right w:val="single" w:sz="16" w:space="0" w:color="000000"/>
            </w:tcBorders>
            <w:shd w:val="clear" w:color="auto" w:fill="FFFFFF"/>
            <w:vAlign w:val="center"/>
          </w:tcPr>
          <w:p w:rsidR="00876328" w:rsidRPr="00876328" w:rsidRDefault="00876328" w:rsidP="00FC6D57">
            <w:pPr>
              <w:rPr>
                <w:rFonts w:ascii="Times New Roman" w:hAnsi="Times New Roman" w:cs="Times New Roman"/>
                <w:sz w:val="20"/>
                <w:szCs w:val="20"/>
              </w:rPr>
            </w:pPr>
            <w:r w:rsidRPr="00876328">
              <w:rPr>
                <w:rFonts w:ascii="Times New Roman" w:hAnsi="Times New Roman" w:cs="Times New Roman"/>
                <w:sz w:val="20"/>
                <w:szCs w:val="20"/>
              </w:rPr>
              <w:t>E. Community Extension/Outreach</w:t>
            </w:r>
          </w:p>
        </w:tc>
        <w:tc>
          <w:tcPr>
            <w:tcW w:w="810" w:type="dxa"/>
            <w:tcBorders>
              <w:top w:val="nil"/>
              <w:left w:val="single" w:sz="16" w:space="0" w:color="000000"/>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.023</w:t>
            </w:r>
          </w:p>
        </w:tc>
        <w:tc>
          <w:tcPr>
            <w:tcW w:w="85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.100</w:t>
            </w:r>
          </w:p>
        </w:tc>
        <w:tc>
          <w:tcPr>
            <w:tcW w:w="1260" w:type="dxa"/>
            <w:tcBorders>
              <w:top w:val="nil"/>
              <w:bottom w:val="nil"/>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.023</w:t>
            </w:r>
          </w:p>
        </w:tc>
        <w:tc>
          <w:tcPr>
            <w:tcW w:w="630" w:type="dxa"/>
            <w:tcBorders>
              <w:top w:val="nil"/>
              <w:bottom w:val="nil"/>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.227</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.820</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FR</w:t>
            </w:r>
          </w:p>
        </w:tc>
        <w:tc>
          <w:tcPr>
            <w:tcW w:w="630" w:type="dxa"/>
            <w:tcBorders>
              <w:top w:val="nil"/>
              <w:bottom w:val="nil"/>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NS</w:t>
            </w:r>
          </w:p>
        </w:tc>
      </w:tr>
      <w:tr w:rsidR="00876328" w:rsidRPr="00876328" w:rsidTr="00934CD3">
        <w:trPr>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rsidR="00876328" w:rsidRPr="00876328" w:rsidRDefault="00876328" w:rsidP="00F374AF">
            <w:pPr>
              <w:ind w:left="-540"/>
              <w:rPr>
                <w:rFonts w:ascii="Times New Roman" w:hAnsi="Times New Roman" w:cs="Times New Roman"/>
                <w:sz w:val="20"/>
                <w:szCs w:val="20"/>
              </w:rPr>
            </w:pPr>
          </w:p>
        </w:tc>
        <w:tc>
          <w:tcPr>
            <w:tcW w:w="2300" w:type="dxa"/>
            <w:tcBorders>
              <w:top w:val="nil"/>
              <w:left w:val="nil"/>
              <w:bottom w:val="single" w:sz="16" w:space="0" w:color="000000"/>
              <w:right w:val="single" w:sz="16" w:space="0" w:color="000000"/>
            </w:tcBorders>
            <w:shd w:val="clear" w:color="auto" w:fill="FFFFFF"/>
            <w:vAlign w:val="center"/>
          </w:tcPr>
          <w:p w:rsidR="00876328" w:rsidRPr="00876328" w:rsidRDefault="00876328" w:rsidP="00FC6D57">
            <w:pPr>
              <w:rPr>
                <w:rFonts w:ascii="Times New Roman" w:hAnsi="Times New Roman" w:cs="Times New Roman"/>
                <w:sz w:val="20"/>
                <w:szCs w:val="20"/>
              </w:rPr>
            </w:pPr>
            <w:r w:rsidRPr="00876328">
              <w:rPr>
                <w:rFonts w:ascii="Times New Roman" w:hAnsi="Times New Roman" w:cs="Times New Roman"/>
                <w:sz w:val="20"/>
                <w:szCs w:val="20"/>
              </w:rPr>
              <w:t>F. Physical Facilities</w:t>
            </w:r>
          </w:p>
        </w:tc>
        <w:tc>
          <w:tcPr>
            <w:tcW w:w="810" w:type="dxa"/>
            <w:tcBorders>
              <w:top w:val="nil"/>
              <w:left w:val="single" w:sz="16" w:space="0" w:color="000000"/>
              <w:bottom w:val="single" w:sz="16" w:space="0" w:color="000000"/>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.226</w:t>
            </w:r>
          </w:p>
        </w:tc>
        <w:tc>
          <w:tcPr>
            <w:tcW w:w="850" w:type="dxa"/>
            <w:tcBorders>
              <w:top w:val="nil"/>
              <w:bottom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.082</w:t>
            </w:r>
          </w:p>
        </w:tc>
        <w:tc>
          <w:tcPr>
            <w:tcW w:w="1260" w:type="dxa"/>
            <w:tcBorders>
              <w:top w:val="nil"/>
              <w:bottom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.259</w:t>
            </w:r>
          </w:p>
        </w:tc>
        <w:tc>
          <w:tcPr>
            <w:tcW w:w="630" w:type="dxa"/>
            <w:tcBorders>
              <w:top w:val="nil"/>
              <w:bottom w:val="single" w:sz="16" w:space="0" w:color="000000"/>
            </w:tcBorders>
            <w:shd w:val="clear" w:color="auto" w:fill="FFFFFF"/>
            <w:vAlign w:val="center"/>
          </w:tcPr>
          <w:p w:rsidR="00876328" w:rsidRPr="00876328" w:rsidRDefault="00876328" w:rsidP="00FC6D57">
            <w:pPr>
              <w:ind w:left="-10"/>
              <w:jc w:val="center"/>
              <w:rPr>
                <w:rFonts w:ascii="Times New Roman" w:hAnsi="Times New Roman" w:cs="Times New Roman"/>
                <w:sz w:val="20"/>
                <w:szCs w:val="20"/>
              </w:rPr>
            </w:pPr>
            <w:r w:rsidRPr="00876328">
              <w:rPr>
                <w:rFonts w:ascii="Times New Roman" w:hAnsi="Times New Roman" w:cs="Times New Roman"/>
                <w:sz w:val="20"/>
                <w:szCs w:val="20"/>
              </w:rPr>
              <w:t>2.748</w:t>
            </w:r>
          </w:p>
        </w:tc>
        <w:tc>
          <w:tcPr>
            <w:tcW w:w="630" w:type="dxa"/>
            <w:tcBorders>
              <w:top w:val="nil"/>
              <w:bottom w:val="single" w:sz="16" w:space="0" w:color="000000"/>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.007</w:t>
            </w:r>
          </w:p>
        </w:tc>
        <w:tc>
          <w:tcPr>
            <w:tcW w:w="630" w:type="dxa"/>
            <w:tcBorders>
              <w:top w:val="nil"/>
              <w:bottom w:val="single" w:sz="16" w:space="0" w:color="000000"/>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R</w:t>
            </w:r>
          </w:p>
        </w:tc>
        <w:tc>
          <w:tcPr>
            <w:tcW w:w="630" w:type="dxa"/>
            <w:tcBorders>
              <w:top w:val="nil"/>
              <w:bottom w:val="single" w:sz="16" w:space="0" w:color="000000"/>
              <w:right w:val="single" w:sz="16" w:space="0" w:color="000000"/>
            </w:tcBorders>
            <w:shd w:val="clear" w:color="auto" w:fill="FFFFFF"/>
            <w:vAlign w:val="center"/>
          </w:tcPr>
          <w:p w:rsidR="00876328" w:rsidRPr="00876328" w:rsidRDefault="00876328" w:rsidP="00FC6D57">
            <w:pPr>
              <w:jc w:val="center"/>
              <w:rPr>
                <w:rFonts w:ascii="Times New Roman" w:hAnsi="Times New Roman" w:cs="Times New Roman"/>
                <w:sz w:val="20"/>
                <w:szCs w:val="20"/>
              </w:rPr>
            </w:pPr>
            <w:r w:rsidRPr="00876328">
              <w:rPr>
                <w:rFonts w:ascii="Times New Roman" w:hAnsi="Times New Roman" w:cs="Times New Roman"/>
                <w:sz w:val="20"/>
                <w:szCs w:val="20"/>
              </w:rPr>
              <w:t>S</w:t>
            </w:r>
          </w:p>
        </w:tc>
      </w:tr>
    </w:tbl>
    <w:p w:rsidR="00876328" w:rsidRPr="00876328" w:rsidRDefault="00876328" w:rsidP="00934CD3">
      <w:pPr>
        <w:pStyle w:val="ListParagraph"/>
        <w:ind w:left="270"/>
        <w:rPr>
          <w:rFonts w:ascii="Times New Roman" w:hAnsi="Times New Roman" w:cs="Times New Roman"/>
          <w:sz w:val="20"/>
          <w:szCs w:val="20"/>
        </w:rPr>
      </w:pPr>
      <w:r w:rsidRPr="00876328">
        <w:rPr>
          <w:rFonts w:ascii="Times New Roman" w:hAnsi="Times New Roman" w:cs="Times New Roman"/>
          <w:sz w:val="20"/>
          <w:szCs w:val="20"/>
        </w:rPr>
        <w:t>a. .Dependent Variable: Excellence</w:t>
      </w:r>
    </w:p>
    <w:p w:rsidR="00876328" w:rsidRPr="00876328" w:rsidRDefault="00876328" w:rsidP="00F374AF">
      <w:pPr>
        <w:pStyle w:val="ListParagraph"/>
        <w:ind w:left="-540"/>
        <w:rPr>
          <w:rFonts w:ascii="Times New Roman" w:hAnsi="Times New Roman" w:cs="Times New Roman"/>
          <w:sz w:val="20"/>
          <w:szCs w:val="20"/>
        </w:rPr>
      </w:pPr>
    </w:p>
    <w:p w:rsidR="00252801" w:rsidRPr="000931A8" w:rsidRDefault="00876328" w:rsidP="004E6D93">
      <w:pPr>
        <w:pStyle w:val="ListParagraph"/>
        <w:spacing w:after="0" w:line="360" w:lineRule="auto"/>
        <w:ind w:left="0" w:firstLine="720"/>
        <w:jc w:val="both"/>
        <w:rPr>
          <w:rFonts w:ascii="Times New Roman" w:hAnsi="Times New Roman" w:cs="Times New Roman"/>
          <w:sz w:val="20"/>
          <w:szCs w:val="20"/>
        </w:rPr>
        <w:sectPr w:rsidR="00252801" w:rsidRPr="000931A8" w:rsidSect="00EC2888">
          <w:headerReference w:type="even" r:id="rId12"/>
          <w:pgSz w:w="11907" w:h="16839" w:code="9"/>
          <w:pgMar w:top="2160" w:right="1530" w:bottom="1440" w:left="2160" w:header="1584" w:footer="720" w:gutter="0"/>
          <w:pgNumType w:start="1"/>
          <w:cols w:space="720"/>
          <w:docGrid w:linePitch="299"/>
        </w:sectPr>
      </w:pPr>
      <w:r>
        <w:rPr>
          <w:rFonts w:ascii="Times New Roman" w:hAnsi="Times New Roman" w:cs="Times New Roman"/>
          <w:sz w:val="20"/>
          <w:szCs w:val="20"/>
        </w:rPr>
        <w:t xml:space="preserve">As reflected in Table </w:t>
      </w:r>
      <w:r w:rsidR="003566EE">
        <w:rPr>
          <w:rFonts w:ascii="Times New Roman" w:hAnsi="Times New Roman" w:cs="Times New Roman"/>
          <w:sz w:val="20"/>
          <w:szCs w:val="20"/>
        </w:rPr>
        <w:t>8</w:t>
      </w:r>
      <w:r w:rsidRPr="00876328">
        <w:rPr>
          <w:rFonts w:ascii="Times New Roman" w:hAnsi="Times New Roman" w:cs="Times New Roman"/>
          <w:sz w:val="20"/>
          <w:szCs w:val="20"/>
        </w:rPr>
        <w:t>, the computed P-values on the regression analysis between the level of compliance in terms of student services, physical facilities and other factors; and excellence of State Universities and Colleges (SUCs), Local Universities and Colleges (LUCs) and Private Higher Education Institutions</w:t>
      </w:r>
      <w:r w:rsidRPr="00876328">
        <w:rPr>
          <w:rFonts w:ascii="Times New Roman" w:hAnsi="Times New Roman" w:cs="Times New Roman"/>
          <w:b/>
          <w:sz w:val="20"/>
          <w:szCs w:val="20"/>
        </w:rPr>
        <w:t xml:space="preserve"> </w:t>
      </w:r>
      <w:r w:rsidRPr="00876328">
        <w:rPr>
          <w:rFonts w:ascii="Times New Roman" w:hAnsi="Times New Roman" w:cs="Times New Roman"/>
          <w:sz w:val="20"/>
          <w:szCs w:val="20"/>
        </w:rPr>
        <w:t>(PHEIs</w:t>
      </w:r>
      <w:r w:rsidRPr="00876328">
        <w:rPr>
          <w:rFonts w:ascii="Times New Roman" w:hAnsi="Times New Roman" w:cs="Times New Roman"/>
          <w:b/>
          <w:sz w:val="20"/>
          <w:szCs w:val="20"/>
        </w:rPr>
        <w:t xml:space="preserve">) </w:t>
      </w:r>
      <w:r w:rsidRPr="00876328">
        <w:rPr>
          <w:rFonts w:ascii="Times New Roman" w:hAnsi="Times New Roman" w:cs="Times New Roman"/>
          <w:sz w:val="20"/>
          <w:szCs w:val="20"/>
        </w:rPr>
        <w:t xml:space="preserve">are 0.026, 0.007 and 0.000, respectively which is lower than 0.05 level of significance.  On the other hand, governance and management, quality of teaching and research </w:t>
      </w:r>
      <w:r w:rsidRPr="00876328">
        <w:rPr>
          <w:rFonts w:ascii="Times New Roman" w:hAnsi="Times New Roman" w:cs="Times New Roman"/>
          <w:sz w:val="20"/>
          <w:szCs w:val="20"/>
        </w:rPr>
        <w:lastRenderedPageBreak/>
        <w:t>faculty, curriculum, and community extension/outreach have p-values of 0.113, 0.784, 0.877 and 0.820 respectively which</w:t>
      </w:r>
      <w:r w:rsidR="00252801">
        <w:rPr>
          <w:rFonts w:ascii="Times New Roman" w:hAnsi="Times New Roman" w:cs="Times New Roman"/>
          <w:sz w:val="20"/>
          <w:szCs w:val="20"/>
        </w:rPr>
        <w:t xml:space="preserve"> are higher than the 0.05 level </w:t>
      </w:r>
      <w:r w:rsidR="004E6D93">
        <w:rPr>
          <w:rFonts w:ascii="Times New Roman" w:hAnsi="Times New Roman" w:cs="Times New Roman"/>
          <w:sz w:val="20"/>
          <w:szCs w:val="20"/>
        </w:rPr>
        <w:t>of significance.</w:t>
      </w:r>
    </w:p>
    <w:tbl>
      <w:tblPr>
        <w:tblW w:w="9404"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544"/>
        <w:gridCol w:w="909"/>
        <w:gridCol w:w="909"/>
        <w:gridCol w:w="1218"/>
        <w:gridCol w:w="690"/>
        <w:gridCol w:w="727"/>
        <w:gridCol w:w="636"/>
        <w:gridCol w:w="467"/>
        <w:gridCol w:w="1214"/>
      </w:tblGrid>
      <w:tr w:rsidR="00876328" w:rsidRPr="00876328" w:rsidTr="00252801">
        <w:trPr>
          <w:gridAfter w:val="1"/>
          <w:wAfter w:w="1214" w:type="dxa"/>
          <w:cantSplit/>
          <w:trHeight w:val="2981"/>
        </w:trPr>
        <w:tc>
          <w:tcPr>
            <w:tcW w:w="8190" w:type="dxa"/>
            <w:gridSpan w:val="9"/>
            <w:tcBorders>
              <w:top w:val="nil"/>
              <w:left w:val="nil"/>
              <w:bottom w:val="nil"/>
              <w:right w:val="nil"/>
            </w:tcBorders>
            <w:shd w:val="clear" w:color="auto" w:fill="FFFFFF"/>
          </w:tcPr>
          <w:p w:rsidR="00876328" w:rsidRPr="004E6D93" w:rsidRDefault="009B2C42" w:rsidP="00252801">
            <w:pPr>
              <w:autoSpaceDE w:val="0"/>
              <w:autoSpaceDN w:val="0"/>
              <w:adjustRightInd w:val="0"/>
              <w:spacing w:after="0" w:line="240" w:lineRule="auto"/>
              <w:jc w:val="center"/>
              <w:rPr>
                <w:rFonts w:ascii="Times New Roman" w:hAnsi="Times New Roman" w:cs="Times New Roman"/>
                <w:sz w:val="20"/>
                <w:szCs w:val="20"/>
              </w:rPr>
            </w:pPr>
            <w:r w:rsidRPr="004E6D93">
              <w:rPr>
                <w:rFonts w:ascii="Times New Roman" w:hAnsi="Times New Roman" w:cs="Times New Roman"/>
                <w:sz w:val="20"/>
                <w:szCs w:val="20"/>
              </w:rPr>
              <w:lastRenderedPageBreak/>
              <w:t>T</w:t>
            </w:r>
            <w:r w:rsidR="00FA16C7" w:rsidRPr="004E6D93">
              <w:rPr>
                <w:rFonts w:ascii="Times New Roman" w:hAnsi="Times New Roman" w:cs="Times New Roman"/>
                <w:sz w:val="20"/>
                <w:szCs w:val="20"/>
              </w:rPr>
              <w:t xml:space="preserve">able </w:t>
            </w:r>
            <w:r w:rsidR="003566EE" w:rsidRPr="004E6D93">
              <w:rPr>
                <w:rFonts w:ascii="Times New Roman" w:hAnsi="Times New Roman" w:cs="Times New Roman"/>
                <w:sz w:val="20"/>
                <w:szCs w:val="20"/>
              </w:rPr>
              <w:t>9</w:t>
            </w:r>
          </w:p>
          <w:p w:rsidR="00876328" w:rsidRPr="004E6D93" w:rsidRDefault="00876328" w:rsidP="00252801">
            <w:pPr>
              <w:autoSpaceDE w:val="0"/>
              <w:autoSpaceDN w:val="0"/>
              <w:adjustRightInd w:val="0"/>
              <w:spacing w:after="0" w:line="240" w:lineRule="auto"/>
              <w:jc w:val="center"/>
              <w:rPr>
                <w:rFonts w:ascii="Times New Roman" w:hAnsi="Times New Roman" w:cs="Times New Roman"/>
                <w:sz w:val="20"/>
                <w:szCs w:val="20"/>
              </w:rPr>
            </w:pPr>
          </w:p>
          <w:p w:rsidR="00876328" w:rsidRPr="004E6D93" w:rsidRDefault="00876328" w:rsidP="00252801">
            <w:pPr>
              <w:autoSpaceDE w:val="0"/>
              <w:autoSpaceDN w:val="0"/>
              <w:adjustRightInd w:val="0"/>
              <w:spacing w:after="0" w:line="240" w:lineRule="auto"/>
              <w:jc w:val="center"/>
              <w:rPr>
                <w:rFonts w:ascii="Times New Roman" w:hAnsi="Times New Roman" w:cs="Times New Roman"/>
                <w:b/>
                <w:sz w:val="20"/>
                <w:szCs w:val="20"/>
              </w:rPr>
            </w:pPr>
            <w:r w:rsidRPr="004E6D93">
              <w:rPr>
                <w:rFonts w:ascii="Times New Roman" w:hAnsi="Times New Roman" w:cs="Times New Roman"/>
                <w:b/>
                <w:sz w:val="20"/>
                <w:szCs w:val="20"/>
              </w:rPr>
              <w:t>Computed Coefficients, t-values, Probability Values and Decision on the Regression Analysis Between the Level of Compliance and Achievement with Respect to Ethical and</w:t>
            </w:r>
            <w:r w:rsidRPr="004E6D93">
              <w:rPr>
                <w:rFonts w:ascii="Times New Roman" w:hAnsi="Times New Roman" w:cs="Times New Roman"/>
                <w:sz w:val="20"/>
                <w:szCs w:val="20"/>
              </w:rPr>
              <w:t xml:space="preserve"> </w:t>
            </w:r>
            <w:r w:rsidRPr="004E6D93">
              <w:rPr>
                <w:rFonts w:ascii="Times New Roman" w:hAnsi="Times New Roman" w:cs="Times New Roman"/>
                <w:b/>
                <w:sz w:val="20"/>
                <w:szCs w:val="20"/>
              </w:rPr>
              <w:t xml:space="preserve">Innovative Governance of State Universities and Colleges Local Universities </w:t>
            </w:r>
          </w:p>
          <w:p w:rsidR="003566EE" w:rsidRPr="008E66AD" w:rsidRDefault="00876328" w:rsidP="008E66AD">
            <w:pPr>
              <w:autoSpaceDE w:val="0"/>
              <w:autoSpaceDN w:val="0"/>
              <w:adjustRightInd w:val="0"/>
              <w:spacing w:after="0" w:line="240" w:lineRule="auto"/>
              <w:jc w:val="center"/>
              <w:rPr>
                <w:rFonts w:ascii="Times New Roman" w:hAnsi="Times New Roman" w:cs="Times New Roman"/>
                <w:b/>
                <w:szCs w:val="20"/>
              </w:rPr>
            </w:pPr>
            <w:r w:rsidRPr="004E6D93">
              <w:rPr>
                <w:rFonts w:ascii="Times New Roman" w:hAnsi="Times New Roman" w:cs="Times New Roman"/>
                <w:b/>
                <w:sz w:val="20"/>
                <w:szCs w:val="20"/>
              </w:rPr>
              <w:t xml:space="preserve">and Colleges and Private Higher Education Institutions </w:t>
            </w:r>
          </w:p>
        </w:tc>
      </w:tr>
      <w:tr w:rsidR="003566EE" w:rsidRPr="003566EE" w:rsidTr="00FC6D57">
        <w:trPr>
          <w:gridAfter w:val="1"/>
          <w:wAfter w:w="1214" w:type="dxa"/>
          <w:cantSplit/>
          <w:trHeight w:val="1174"/>
        </w:trPr>
        <w:tc>
          <w:tcPr>
            <w:tcW w:w="2634" w:type="dxa"/>
            <w:gridSpan w:val="2"/>
            <w:vMerge w:val="restart"/>
            <w:tcBorders>
              <w:top w:val="single" w:sz="16" w:space="0" w:color="000000"/>
              <w:left w:val="single" w:sz="16" w:space="0" w:color="000000"/>
              <w:bottom w:val="nil"/>
              <w:right w:val="nil"/>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Model</w:t>
            </w:r>
          </w:p>
        </w:tc>
        <w:tc>
          <w:tcPr>
            <w:tcW w:w="1818" w:type="dxa"/>
            <w:gridSpan w:val="2"/>
            <w:tcBorders>
              <w:top w:val="single" w:sz="16" w:space="0" w:color="000000"/>
              <w:lef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Unstandardized Coefficients</w:t>
            </w:r>
          </w:p>
        </w:tc>
        <w:tc>
          <w:tcPr>
            <w:tcW w:w="1218" w:type="dxa"/>
            <w:tcBorders>
              <w:top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Standardized Coefficients</w:t>
            </w:r>
          </w:p>
        </w:tc>
        <w:tc>
          <w:tcPr>
            <w:tcW w:w="690" w:type="dxa"/>
            <w:vMerge w:val="restart"/>
            <w:tcBorders>
              <w:top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T</w:t>
            </w:r>
          </w:p>
        </w:tc>
        <w:tc>
          <w:tcPr>
            <w:tcW w:w="727" w:type="dxa"/>
            <w:vMerge w:val="restart"/>
            <w:tcBorders>
              <w:top w:val="single" w:sz="16" w:space="0" w:color="000000"/>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Sig.</w:t>
            </w:r>
          </w:p>
        </w:tc>
        <w:tc>
          <w:tcPr>
            <w:tcW w:w="636" w:type="dxa"/>
            <w:vMerge w:val="restart"/>
            <w:tcBorders>
              <w:top w:val="single" w:sz="16" w:space="0" w:color="000000"/>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Ho</w:t>
            </w:r>
          </w:p>
        </w:tc>
        <w:tc>
          <w:tcPr>
            <w:tcW w:w="467" w:type="dxa"/>
            <w:vMerge w:val="restart"/>
            <w:tcBorders>
              <w:top w:val="single" w:sz="16" w:space="0" w:color="000000"/>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VI</w:t>
            </w:r>
          </w:p>
        </w:tc>
      </w:tr>
      <w:tr w:rsidR="003566EE" w:rsidRPr="003566EE" w:rsidTr="00FC6D57">
        <w:trPr>
          <w:gridAfter w:val="1"/>
          <w:wAfter w:w="1214" w:type="dxa"/>
          <w:cantSplit/>
          <w:trHeight w:val="148"/>
        </w:trPr>
        <w:tc>
          <w:tcPr>
            <w:tcW w:w="2634" w:type="dxa"/>
            <w:gridSpan w:val="2"/>
            <w:vMerge/>
            <w:tcBorders>
              <w:top w:val="single" w:sz="16" w:space="0" w:color="000000"/>
              <w:left w:val="single" w:sz="16" w:space="0" w:color="000000"/>
              <w:bottom w:val="nil"/>
              <w:right w:val="nil"/>
            </w:tcBorders>
            <w:shd w:val="clear" w:color="auto" w:fill="FFFFFF"/>
          </w:tcPr>
          <w:p w:rsidR="003566EE" w:rsidRPr="003566EE" w:rsidRDefault="003566EE" w:rsidP="00252801">
            <w:pPr>
              <w:rPr>
                <w:rFonts w:ascii="Times New Roman" w:hAnsi="Times New Roman" w:cs="Times New Roman"/>
                <w:sz w:val="20"/>
                <w:szCs w:val="20"/>
              </w:rPr>
            </w:pPr>
          </w:p>
        </w:tc>
        <w:tc>
          <w:tcPr>
            <w:tcW w:w="909" w:type="dxa"/>
            <w:tcBorders>
              <w:left w:val="single" w:sz="16" w:space="0" w:color="000000"/>
              <w:bottom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B</w:t>
            </w:r>
          </w:p>
        </w:tc>
        <w:tc>
          <w:tcPr>
            <w:tcW w:w="909" w:type="dxa"/>
            <w:tcBorders>
              <w:bottom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Std. Error</w:t>
            </w:r>
          </w:p>
        </w:tc>
        <w:tc>
          <w:tcPr>
            <w:tcW w:w="1218" w:type="dxa"/>
            <w:tcBorders>
              <w:bottom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b/>
                <w:sz w:val="20"/>
                <w:szCs w:val="20"/>
              </w:rPr>
            </w:pPr>
            <w:r w:rsidRPr="003566EE">
              <w:rPr>
                <w:rFonts w:ascii="Times New Roman" w:hAnsi="Times New Roman" w:cs="Times New Roman"/>
                <w:b/>
                <w:sz w:val="20"/>
                <w:szCs w:val="20"/>
              </w:rPr>
              <w:t>Beta</w:t>
            </w:r>
          </w:p>
        </w:tc>
        <w:tc>
          <w:tcPr>
            <w:tcW w:w="690" w:type="dxa"/>
            <w:vMerge/>
            <w:tcBorders>
              <w:top w:val="single" w:sz="16" w:space="0" w:color="000000"/>
            </w:tcBorders>
            <w:shd w:val="clear" w:color="auto" w:fill="FFFFFF"/>
          </w:tcPr>
          <w:p w:rsidR="003566EE" w:rsidRPr="003566EE" w:rsidRDefault="003566EE" w:rsidP="00252801">
            <w:pPr>
              <w:rPr>
                <w:rFonts w:ascii="Times New Roman" w:hAnsi="Times New Roman" w:cs="Times New Roman"/>
                <w:sz w:val="20"/>
                <w:szCs w:val="20"/>
              </w:rPr>
            </w:pPr>
          </w:p>
        </w:tc>
        <w:tc>
          <w:tcPr>
            <w:tcW w:w="727" w:type="dxa"/>
            <w:vMerge/>
            <w:tcBorders>
              <w:top w:val="single" w:sz="16" w:space="0" w:color="000000"/>
              <w:right w:val="single" w:sz="16" w:space="0" w:color="000000"/>
            </w:tcBorders>
            <w:shd w:val="clear" w:color="auto" w:fill="FFFFFF"/>
          </w:tcPr>
          <w:p w:rsidR="003566EE" w:rsidRPr="003566EE" w:rsidRDefault="003566EE" w:rsidP="00252801">
            <w:pPr>
              <w:rPr>
                <w:rFonts w:ascii="Times New Roman" w:hAnsi="Times New Roman" w:cs="Times New Roman"/>
                <w:sz w:val="20"/>
                <w:szCs w:val="20"/>
              </w:rPr>
            </w:pPr>
          </w:p>
        </w:tc>
        <w:tc>
          <w:tcPr>
            <w:tcW w:w="636" w:type="dxa"/>
            <w:vMerge/>
            <w:tcBorders>
              <w:right w:val="single" w:sz="16" w:space="0" w:color="000000"/>
            </w:tcBorders>
            <w:shd w:val="clear" w:color="auto" w:fill="FFFFFF"/>
          </w:tcPr>
          <w:p w:rsidR="003566EE" w:rsidRPr="003566EE" w:rsidRDefault="003566EE" w:rsidP="00252801">
            <w:pPr>
              <w:rPr>
                <w:rFonts w:ascii="Times New Roman" w:hAnsi="Times New Roman" w:cs="Times New Roman"/>
                <w:sz w:val="20"/>
                <w:szCs w:val="20"/>
              </w:rPr>
            </w:pPr>
          </w:p>
        </w:tc>
        <w:tc>
          <w:tcPr>
            <w:tcW w:w="467" w:type="dxa"/>
            <w:vMerge/>
            <w:tcBorders>
              <w:right w:val="single" w:sz="16" w:space="0" w:color="000000"/>
            </w:tcBorders>
            <w:shd w:val="clear" w:color="auto" w:fill="FFFFFF"/>
          </w:tcPr>
          <w:p w:rsidR="003566EE" w:rsidRPr="003566EE" w:rsidRDefault="003566EE" w:rsidP="00252801">
            <w:pPr>
              <w:rPr>
                <w:rFonts w:ascii="Times New Roman" w:hAnsi="Times New Roman" w:cs="Times New Roman"/>
                <w:sz w:val="20"/>
                <w:szCs w:val="20"/>
              </w:rPr>
            </w:pPr>
          </w:p>
        </w:tc>
      </w:tr>
      <w:tr w:rsidR="003566EE" w:rsidRPr="003566EE" w:rsidTr="00FC6D57">
        <w:trPr>
          <w:gridAfter w:val="1"/>
          <w:wAfter w:w="1214" w:type="dxa"/>
          <w:cantSplit/>
          <w:trHeight w:val="41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566EE" w:rsidRPr="003566EE" w:rsidRDefault="003566EE" w:rsidP="00252801">
            <w:pPr>
              <w:rPr>
                <w:rFonts w:ascii="Times New Roman" w:hAnsi="Times New Roman" w:cs="Times New Roman"/>
                <w:sz w:val="20"/>
                <w:szCs w:val="20"/>
              </w:rPr>
            </w:pPr>
          </w:p>
        </w:tc>
        <w:tc>
          <w:tcPr>
            <w:tcW w:w="2544" w:type="dxa"/>
            <w:tcBorders>
              <w:top w:val="single" w:sz="16" w:space="0" w:color="000000"/>
              <w:left w:val="nil"/>
              <w:bottom w:val="nil"/>
              <w:right w:val="single" w:sz="16" w:space="0" w:color="000000"/>
            </w:tcBorders>
            <w:shd w:val="clear" w:color="auto" w:fill="FFFFFF"/>
            <w:vAlign w:val="center"/>
          </w:tcPr>
          <w:p w:rsidR="003566EE" w:rsidRPr="003566EE" w:rsidRDefault="003566EE" w:rsidP="00252801">
            <w:pPr>
              <w:rPr>
                <w:rFonts w:ascii="Times New Roman" w:hAnsi="Times New Roman" w:cs="Times New Roman"/>
                <w:sz w:val="20"/>
                <w:szCs w:val="20"/>
              </w:rPr>
            </w:pPr>
            <w:r w:rsidRPr="003566EE">
              <w:rPr>
                <w:rFonts w:ascii="Times New Roman" w:hAnsi="Times New Roman" w:cs="Times New Roman"/>
                <w:sz w:val="20"/>
                <w:szCs w:val="20"/>
              </w:rPr>
              <w:t>(Constant)</w:t>
            </w:r>
          </w:p>
        </w:tc>
        <w:tc>
          <w:tcPr>
            <w:tcW w:w="909" w:type="dxa"/>
            <w:tcBorders>
              <w:top w:val="single" w:sz="16" w:space="0" w:color="000000"/>
              <w:left w:val="single" w:sz="16" w:space="0" w:color="000000"/>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1.755</w:t>
            </w:r>
          </w:p>
        </w:tc>
        <w:tc>
          <w:tcPr>
            <w:tcW w:w="909" w:type="dxa"/>
            <w:tcBorders>
              <w:top w:val="single" w:sz="16" w:space="0" w:color="000000"/>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.301</w:t>
            </w:r>
          </w:p>
        </w:tc>
        <w:tc>
          <w:tcPr>
            <w:tcW w:w="1218" w:type="dxa"/>
            <w:tcBorders>
              <w:top w:val="single" w:sz="16" w:space="0" w:color="000000"/>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p>
        </w:tc>
        <w:tc>
          <w:tcPr>
            <w:tcW w:w="690" w:type="dxa"/>
            <w:tcBorders>
              <w:top w:val="single" w:sz="16" w:space="0" w:color="000000"/>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5.826</w:t>
            </w:r>
          </w:p>
        </w:tc>
        <w:tc>
          <w:tcPr>
            <w:tcW w:w="727" w:type="dxa"/>
            <w:tcBorders>
              <w:top w:val="single" w:sz="16" w:space="0" w:color="000000"/>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.000</w:t>
            </w:r>
          </w:p>
        </w:tc>
        <w:tc>
          <w:tcPr>
            <w:tcW w:w="636" w:type="dxa"/>
            <w:tcBorders>
              <w:top w:val="single" w:sz="16" w:space="0" w:color="000000"/>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R</w:t>
            </w:r>
          </w:p>
        </w:tc>
        <w:tc>
          <w:tcPr>
            <w:tcW w:w="467" w:type="dxa"/>
            <w:tcBorders>
              <w:top w:val="single" w:sz="16" w:space="0" w:color="000000"/>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S</w:t>
            </w:r>
          </w:p>
        </w:tc>
      </w:tr>
      <w:tr w:rsidR="003566EE" w:rsidRPr="003566EE" w:rsidTr="00FC6D57">
        <w:trPr>
          <w:gridAfter w:val="1"/>
          <w:wAfter w:w="1214" w:type="dxa"/>
          <w:cantSplit/>
          <w:trHeight w:val="710"/>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566EE" w:rsidRPr="003566EE" w:rsidRDefault="003566EE" w:rsidP="00252801">
            <w:pPr>
              <w:rPr>
                <w:rFonts w:ascii="Times New Roman" w:hAnsi="Times New Roman" w:cs="Times New Roman"/>
                <w:sz w:val="20"/>
                <w:szCs w:val="20"/>
              </w:rPr>
            </w:pPr>
          </w:p>
        </w:tc>
        <w:tc>
          <w:tcPr>
            <w:tcW w:w="2544" w:type="dxa"/>
            <w:tcBorders>
              <w:top w:val="nil"/>
              <w:left w:val="nil"/>
              <w:bottom w:val="nil"/>
              <w:right w:val="single" w:sz="16" w:space="0" w:color="000000"/>
            </w:tcBorders>
            <w:shd w:val="clear" w:color="auto" w:fill="FFFFFF"/>
            <w:vAlign w:val="center"/>
          </w:tcPr>
          <w:p w:rsidR="003566EE" w:rsidRPr="003566EE" w:rsidRDefault="003566EE" w:rsidP="00252801">
            <w:pPr>
              <w:rPr>
                <w:rFonts w:ascii="Times New Roman" w:hAnsi="Times New Roman" w:cs="Times New Roman"/>
                <w:sz w:val="20"/>
                <w:szCs w:val="20"/>
              </w:rPr>
            </w:pPr>
            <w:r w:rsidRPr="003566EE">
              <w:rPr>
                <w:rFonts w:ascii="Times New Roman" w:hAnsi="Times New Roman" w:cs="Times New Roman"/>
                <w:sz w:val="20"/>
                <w:szCs w:val="20"/>
              </w:rPr>
              <w:t>A. Governance &amp; Management</w:t>
            </w:r>
          </w:p>
        </w:tc>
        <w:tc>
          <w:tcPr>
            <w:tcW w:w="909" w:type="dxa"/>
            <w:tcBorders>
              <w:top w:val="nil"/>
              <w:left w:val="single" w:sz="16" w:space="0" w:color="000000"/>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-.038</w:t>
            </w:r>
          </w:p>
        </w:tc>
        <w:tc>
          <w:tcPr>
            <w:tcW w:w="909"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.086</w:t>
            </w:r>
          </w:p>
        </w:tc>
        <w:tc>
          <w:tcPr>
            <w:tcW w:w="1218"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-.034</w:t>
            </w:r>
          </w:p>
        </w:tc>
        <w:tc>
          <w:tcPr>
            <w:tcW w:w="690"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-.440</w:t>
            </w:r>
          </w:p>
        </w:tc>
        <w:tc>
          <w:tcPr>
            <w:tcW w:w="72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.661</w:t>
            </w:r>
          </w:p>
        </w:tc>
        <w:tc>
          <w:tcPr>
            <w:tcW w:w="636"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FR</w:t>
            </w:r>
          </w:p>
        </w:tc>
        <w:tc>
          <w:tcPr>
            <w:tcW w:w="46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NS</w:t>
            </w:r>
          </w:p>
        </w:tc>
      </w:tr>
      <w:tr w:rsidR="003566EE" w:rsidRPr="003566EE" w:rsidTr="00FC6D57">
        <w:trPr>
          <w:gridAfter w:val="1"/>
          <w:wAfter w:w="1214" w:type="dxa"/>
          <w:cantSplit/>
          <w:trHeight w:val="710"/>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566EE" w:rsidRPr="003566EE" w:rsidRDefault="003566EE" w:rsidP="00252801">
            <w:pPr>
              <w:rPr>
                <w:rFonts w:ascii="Times New Roman" w:hAnsi="Times New Roman" w:cs="Times New Roman"/>
                <w:sz w:val="20"/>
                <w:szCs w:val="20"/>
              </w:rPr>
            </w:pPr>
          </w:p>
        </w:tc>
        <w:tc>
          <w:tcPr>
            <w:tcW w:w="2544" w:type="dxa"/>
            <w:tcBorders>
              <w:top w:val="nil"/>
              <w:left w:val="nil"/>
              <w:bottom w:val="nil"/>
              <w:right w:val="single" w:sz="16" w:space="0" w:color="000000"/>
            </w:tcBorders>
            <w:shd w:val="clear" w:color="auto" w:fill="FFFFFF"/>
            <w:vAlign w:val="center"/>
          </w:tcPr>
          <w:p w:rsidR="003566EE" w:rsidRPr="003566EE" w:rsidRDefault="003566EE" w:rsidP="00252801">
            <w:pPr>
              <w:rPr>
                <w:rFonts w:ascii="Times New Roman" w:hAnsi="Times New Roman" w:cs="Times New Roman"/>
                <w:sz w:val="20"/>
                <w:szCs w:val="20"/>
              </w:rPr>
            </w:pPr>
            <w:r w:rsidRPr="003566EE">
              <w:rPr>
                <w:rFonts w:ascii="Times New Roman" w:hAnsi="Times New Roman" w:cs="Times New Roman"/>
                <w:sz w:val="20"/>
                <w:szCs w:val="20"/>
              </w:rPr>
              <w:t>B. Quality of Teaching and Research Faculty</w:t>
            </w:r>
          </w:p>
        </w:tc>
        <w:tc>
          <w:tcPr>
            <w:tcW w:w="909" w:type="dxa"/>
            <w:tcBorders>
              <w:top w:val="nil"/>
              <w:left w:val="single" w:sz="16" w:space="0" w:color="000000"/>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.124</w:t>
            </w:r>
          </w:p>
        </w:tc>
        <w:tc>
          <w:tcPr>
            <w:tcW w:w="909"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.114</w:t>
            </w:r>
          </w:p>
        </w:tc>
        <w:tc>
          <w:tcPr>
            <w:tcW w:w="1218"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.100</w:t>
            </w:r>
          </w:p>
        </w:tc>
        <w:tc>
          <w:tcPr>
            <w:tcW w:w="690"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1.085</w:t>
            </w:r>
          </w:p>
        </w:tc>
        <w:tc>
          <w:tcPr>
            <w:tcW w:w="72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.279</w:t>
            </w:r>
          </w:p>
        </w:tc>
        <w:tc>
          <w:tcPr>
            <w:tcW w:w="636"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FR</w:t>
            </w:r>
          </w:p>
        </w:tc>
        <w:tc>
          <w:tcPr>
            <w:tcW w:w="46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NS</w:t>
            </w:r>
          </w:p>
        </w:tc>
      </w:tr>
      <w:tr w:rsidR="003566EE" w:rsidRPr="003566EE" w:rsidTr="00FC6D57">
        <w:trPr>
          <w:gridAfter w:val="1"/>
          <w:wAfter w:w="1214" w:type="dxa"/>
          <w:cantSplit/>
          <w:trHeight w:val="4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566EE" w:rsidRPr="003566EE" w:rsidRDefault="003566EE" w:rsidP="00252801">
            <w:pPr>
              <w:rPr>
                <w:rFonts w:ascii="Times New Roman" w:hAnsi="Times New Roman" w:cs="Times New Roman"/>
                <w:sz w:val="20"/>
                <w:szCs w:val="20"/>
              </w:rPr>
            </w:pPr>
          </w:p>
        </w:tc>
        <w:tc>
          <w:tcPr>
            <w:tcW w:w="2544" w:type="dxa"/>
            <w:tcBorders>
              <w:top w:val="nil"/>
              <w:left w:val="nil"/>
              <w:bottom w:val="nil"/>
              <w:right w:val="single" w:sz="16" w:space="0" w:color="000000"/>
            </w:tcBorders>
            <w:shd w:val="clear" w:color="auto" w:fill="FFFFFF"/>
            <w:vAlign w:val="center"/>
          </w:tcPr>
          <w:p w:rsidR="003566EE" w:rsidRPr="003566EE" w:rsidRDefault="003566EE" w:rsidP="00252801">
            <w:pPr>
              <w:rPr>
                <w:rFonts w:ascii="Times New Roman" w:hAnsi="Times New Roman" w:cs="Times New Roman"/>
                <w:sz w:val="20"/>
                <w:szCs w:val="20"/>
              </w:rPr>
            </w:pPr>
            <w:r w:rsidRPr="003566EE">
              <w:rPr>
                <w:rFonts w:ascii="Times New Roman" w:hAnsi="Times New Roman" w:cs="Times New Roman"/>
                <w:sz w:val="20"/>
                <w:szCs w:val="20"/>
              </w:rPr>
              <w:t>C. Curriculum</w:t>
            </w:r>
          </w:p>
        </w:tc>
        <w:tc>
          <w:tcPr>
            <w:tcW w:w="909" w:type="dxa"/>
            <w:tcBorders>
              <w:top w:val="nil"/>
              <w:left w:val="single" w:sz="16" w:space="0" w:color="000000"/>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.129</w:t>
            </w:r>
          </w:p>
        </w:tc>
        <w:tc>
          <w:tcPr>
            <w:tcW w:w="909"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.113</w:t>
            </w:r>
          </w:p>
        </w:tc>
        <w:tc>
          <w:tcPr>
            <w:tcW w:w="1218"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.113</w:t>
            </w:r>
          </w:p>
        </w:tc>
        <w:tc>
          <w:tcPr>
            <w:tcW w:w="690"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1.142</w:t>
            </w:r>
          </w:p>
        </w:tc>
        <w:tc>
          <w:tcPr>
            <w:tcW w:w="72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.255</w:t>
            </w:r>
          </w:p>
        </w:tc>
        <w:tc>
          <w:tcPr>
            <w:tcW w:w="636"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FR</w:t>
            </w:r>
          </w:p>
        </w:tc>
        <w:tc>
          <w:tcPr>
            <w:tcW w:w="46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NS</w:t>
            </w:r>
          </w:p>
        </w:tc>
      </w:tr>
      <w:tr w:rsidR="003566EE" w:rsidRPr="003566EE" w:rsidTr="00FC6D57">
        <w:trPr>
          <w:gridAfter w:val="1"/>
          <w:wAfter w:w="1214" w:type="dxa"/>
          <w:cantSplit/>
          <w:trHeight w:val="46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566EE" w:rsidRPr="003566EE" w:rsidRDefault="003566EE" w:rsidP="00252801">
            <w:pPr>
              <w:rPr>
                <w:rFonts w:ascii="Times New Roman" w:hAnsi="Times New Roman" w:cs="Times New Roman"/>
                <w:sz w:val="20"/>
                <w:szCs w:val="20"/>
              </w:rPr>
            </w:pPr>
          </w:p>
        </w:tc>
        <w:tc>
          <w:tcPr>
            <w:tcW w:w="2544" w:type="dxa"/>
            <w:tcBorders>
              <w:top w:val="nil"/>
              <w:left w:val="nil"/>
              <w:bottom w:val="nil"/>
              <w:right w:val="single" w:sz="16" w:space="0" w:color="000000"/>
            </w:tcBorders>
            <w:shd w:val="clear" w:color="auto" w:fill="FFFFFF"/>
            <w:vAlign w:val="center"/>
          </w:tcPr>
          <w:p w:rsidR="003566EE" w:rsidRPr="003566EE" w:rsidRDefault="003566EE" w:rsidP="00252801">
            <w:pPr>
              <w:rPr>
                <w:rFonts w:ascii="Times New Roman" w:hAnsi="Times New Roman" w:cs="Times New Roman"/>
                <w:sz w:val="20"/>
                <w:szCs w:val="20"/>
              </w:rPr>
            </w:pPr>
            <w:r w:rsidRPr="003566EE">
              <w:rPr>
                <w:rFonts w:ascii="Times New Roman" w:hAnsi="Times New Roman" w:cs="Times New Roman"/>
                <w:sz w:val="20"/>
                <w:szCs w:val="20"/>
              </w:rPr>
              <w:t>D. Student Services</w:t>
            </w:r>
          </w:p>
        </w:tc>
        <w:tc>
          <w:tcPr>
            <w:tcW w:w="909" w:type="dxa"/>
            <w:tcBorders>
              <w:top w:val="nil"/>
              <w:left w:val="single" w:sz="16" w:space="0" w:color="000000"/>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.251</w:t>
            </w:r>
          </w:p>
        </w:tc>
        <w:tc>
          <w:tcPr>
            <w:tcW w:w="909"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.107</w:t>
            </w:r>
          </w:p>
        </w:tc>
        <w:tc>
          <w:tcPr>
            <w:tcW w:w="1218"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.211</w:t>
            </w:r>
          </w:p>
        </w:tc>
        <w:tc>
          <w:tcPr>
            <w:tcW w:w="690"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2.350</w:t>
            </w:r>
          </w:p>
        </w:tc>
        <w:tc>
          <w:tcPr>
            <w:tcW w:w="72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.020</w:t>
            </w:r>
          </w:p>
        </w:tc>
        <w:tc>
          <w:tcPr>
            <w:tcW w:w="636"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R</w:t>
            </w:r>
          </w:p>
        </w:tc>
        <w:tc>
          <w:tcPr>
            <w:tcW w:w="46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S</w:t>
            </w:r>
          </w:p>
        </w:tc>
      </w:tr>
      <w:tr w:rsidR="003566EE" w:rsidRPr="003566EE" w:rsidTr="00FC6D57">
        <w:trPr>
          <w:gridAfter w:val="1"/>
          <w:wAfter w:w="1214" w:type="dxa"/>
          <w:cantSplit/>
          <w:trHeight w:val="710"/>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566EE" w:rsidRPr="003566EE" w:rsidRDefault="003566EE" w:rsidP="00252801">
            <w:pPr>
              <w:rPr>
                <w:rFonts w:ascii="Times New Roman" w:hAnsi="Times New Roman" w:cs="Times New Roman"/>
                <w:sz w:val="20"/>
                <w:szCs w:val="20"/>
              </w:rPr>
            </w:pPr>
          </w:p>
        </w:tc>
        <w:tc>
          <w:tcPr>
            <w:tcW w:w="2544" w:type="dxa"/>
            <w:tcBorders>
              <w:top w:val="nil"/>
              <w:left w:val="nil"/>
              <w:bottom w:val="nil"/>
              <w:right w:val="single" w:sz="16" w:space="0" w:color="000000"/>
            </w:tcBorders>
            <w:shd w:val="clear" w:color="auto" w:fill="FFFFFF"/>
            <w:vAlign w:val="center"/>
          </w:tcPr>
          <w:p w:rsidR="003566EE" w:rsidRPr="003566EE" w:rsidRDefault="003566EE" w:rsidP="00252801">
            <w:pPr>
              <w:rPr>
                <w:rFonts w:ascii="Times New Roman" w:hAnsi="Times New Roman" w:cs="Times New Roman"/>
                <w:sz w:val="20"/>
                <w:szCs w:val="20"/>
              </w:rPr>
            </w:pPr>
            <w:r w:rsidRPr="003566EE">
              <w:rPr>
                <w:rFonts w:ascii="Times New Roman" w:hAnsi="Times New Roman" w:cs="Times New Roman"/>
                <w:sz w:val="20"/>
                <w:szCs w:val="20"/>
              </w:rPr>
              <w:t>E. Community Extension/Outreach</w:t>
            </w:r>
          </w:p>
        </w:tc>
        <w:tc>
          <w:tcPr>
            <w:tcW w:w="909" w:type="dxa"/>
            <w:tcBorders>
              <w:top w:val="nil"/>
              <w:left w:val="single" w:sz="16" w:space="0" w:color="000000"/>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.046</w:t>
            </w:r>
          </w:p>
        </w:tc>
        <w:tc>
          <w:tcPr>
            <w:tcW w:w="909"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.104</w:t>
            </w:r>
          </w:p>
        </w:tc>
        <w:tc>
          <w:tcPr>
            <w:tcW w:w="1218"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.043</w:t>
            </w:r>
          </w:p>
        </w:tc>
        <w:tc>
          <w:tcPr>
            <w:tcW w:w="690" w:type="dxa"/>
            <w:tcBorders>
              <w:top w:val="nil"/>
              <w:bottom w:val="nil"/>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.446</w:t>
            </w:r>
          </w:p>
        </w:tc>
        <w:tc>
          <w:tcPr>
            <w:tcW w:w="72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.656</w:t>
            </w:r>
          </w:p>
        </w:tc>
        <w:tc>
          <w:tcPr>
            <w:tcW w:w="636"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FR</w:t>
            </w:r>
          </w:p>
        </w:tc>
        <w:tc>
          <w:tcPr>
            <w:tcW w:w="467" w:type="dxa"/>
            <w:tcBorders>
              <w:top w:val="nil"/>
              <w:bottom w:val="nil"/>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NS</w:t>
            </w:r>
          </w:p>
        </w:tc>
      </w:tr>
      <w:tr w:rsidR="003566EE" w:rsidRPr="003566EE" w:rsidTr="00FC6D57">
        <w:trPr>
          <w:gridAfter w:val="1"/>
          <w:wAfter w:w="1214" w:type="dxa"/>
          <w:cantSplit/>
          <w:trHeight w:val="46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566EE" w:rsidRPr="003566EE" w:rsidRDefault="003566EE" w:rsidP="00252801">
            <w:pPr>
              <w:rPr>
                <w:rFonts w:ascii="Times New Roman" w:hAnsi="Times New Roman" w:cs="Times New Roman"/>
                <w:sz w:val="20"/>
                <w:szCs w:val="20"/>
              </w:rPr>
            </w:pPr>
          </w:p>
        </w:tc>
        <w:tc>
          <w:tcPr>
            <w:tcW w:w="2544" w:type="dxa"/>
            <w:tcBorders>
              <w:top w:val="nil"/>
              <w:left w:val="nil"/>
              <w:bottom w:val="single" w:sz="16" w:space="0" w:color="000000"/>
              <w:right w:val="single" w:sz="16" w:space="0" w:color="000000"/>
            </w:tcBorders>
            <w:shd w:val="clear" w:color="auto" w:fill="FFFFFF"/>
            <w:vAlign w:val="center"/>
          </w:tcPr>
          <w:p w:rsidR="003566EE" w:rsidRPr="003566EE" w:rsidRDefault="003566EE" w:rsidP="00252801">
            <w:pPr>
              <w:rPr>
                <w:rFonts w:ascii="Times New Roman" w:hAnsi="Times New Roman" w:cs="Times New Roman"/>
                <w:sz w:val="20"/>
                <w:szCs w:val="20"/>
              </w:rPr>
            </w:pPr>
            <w:r w:rsidRPr="003566EE">
              <w:rPr>
                <w:rFonts w:ascii="Times New Roman" w:hAnsi="Times New Roman" w:cs="Times New Roman"/>
                <w:sz w:val="20"/>
                <w:szCs w:val="20"/>
              </w:rPr>
              <w:t>F. Physical Facilities</w:t>
            </w:r>
          </w:p>
        </w:tc>
        <w:tc>
          <w:tcPr>
            <w:tcW w:w="909" w:type="dxa"/>
            <w:tcBorders>
              <w:top w:val="nil"/>
              <w:left w:val="single" w:sz="16" w:space="0" w:color="000000"/>
              <w:bottom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.230</w:t>
            </w:r>
          </w:p>
        </w:tc>
        <w:tc>
          <w:tcPr>
            <w:tcW w:w="909" w:type="dxa"/>
            <w:tcBorders>
              <w:top w:val="nil"/>
              <w:bottom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.086</w:t>
            </w:r>
          </w:p>
        </w:tc>
        <w:tc>
          <w:tcPr>
            <w:tcW w:w="1218" w:type="dxa"/>
            <w:tcBorders>
              <w:top w:val="nil"/>
              <w:bottom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.246</w:t>
            </w:r>
          </w:p>
        </w:tc>
        <w:tc>
          <w:tcPr>
            <w:tcW w:w="690" w:type="dxa"/>
            <w:tcBorders>
              <w:top w:val="nil"/>
              <w:bottom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2.691</w:t>
            </w:r>
          </w:p>
        </w:tc>
        <w:tc>
          <w:tcPr>
            <w:tcW w:w="727" w:type="dxa"/>
            <w:tcBorders>
              <w:top w:val="nil"/>
              <w:bottom w:val="single" w:sz="16" w:space="0" w:color="000000"/>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.008</w:t>
            </w:r>
          </w:p>
        </w:tc>
        <w:tc>
          <w:tcPr>
            <w:tcW w:w="636" w:type="dxa"/>
            <w:tcBorders>
              <w:top w:val="nil"/>
              <w:bottom w:val="single" w:sz="16" w:space="0" w:color="000000"/>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R</w:t>
            </w:r>
          </w:p>
        </w:tc>
        <w:tc>
          <w:tcPr>
            <w:tcW w:w="467" w:type="dxa"/>
            <w:tcBorders>
              <w:top w:val="nil"/>
              <w:bottom w:val="single" w:sz="16" w:space="0" w:color="000000"/>
              <w:right w:val="single" w:sz="16" w:space="0" w:color="000000"/>
            </w:tcBorders>
            <w:shd w:val="clear" w:color="auto" w:fill="FFFFFF"/>
            <w:vAlign w:val="center"/>
          </w:tcPr>
          <w:p w:rsidR="003566EE" w:rsidRPr="003566EE" w:rsidRDefault="003566EE" w:rsidP="00252801">
            <w:pPr>
              <w:jc w:val="center"/>
              <w:rPr>
                <w:rFonts w:ascii="Times New Roman" w:hAnsi="Times New Roman" w:cs="Times New Roman"/>
                <w:sz w:val="20"/>
                <w:szCs w:val="20"/>
              </w:rPr>
            </w:pPr>
            <w:r w:rsidRPr="003566EE">
              <w:rPr>
                <w:rFonts w:ascii="Times New Roman" w:hAnsi="Times New Roman" w:cs="Times New Roman"/>
                <w:sz w:val="20"/>
                <w:szCs w:val="20"/>
              </w:rPr>
              <w:t>S</w:t>
            </w:r>
          </w:p>
        </w:tc>
      </w:tr>
      <w:tr w:rsidR="003566EE" w:rsidRPr="00D67A50" w:rsidTr="00252801">
        <w:trPr>
          <w:cantSplit/>
          <w:trHeight w:val="116"/>
        </w:trPr>
        <w:tc>
          <w:tcPr>
            <w:tcW w:w="9404" w:type="dxa"/>
            <w:gridSpan w:val="10"/>
            <w:tcBorders>
              <w:top w:val="nil"/>
              <w:left w:val="nil"/>
              <w:bottom w:val="nil"/>
              <w:right w:val="nil"/>
            </w:tcBorders>
            <w:shd w:val="clear" w:color="auto" w:fill="FFFFFF"/>
          </w:tcPr>
          <w:p w:rsidR="003566EE" w:rsidRPr="003566EE" w:rsidRDefault="003566EE" w:rsidP="00252801">
            <w:pPr>
              <w:rPr>
                <w:rFonts w:ascii="Times New Roman" w:hAnsi="Times New Roman" w:cs="Times New Roman"/>
                <w:sz w:val="20"/>
                <w:szCs w:val="20"/>
              </w:rPr>
            </w:pPr>
            <w:r w:rsidRPr="003566EE">
              <w:rPr>
                <w:rFonts w:ascii="Times New Roman" w:hAnsi="Times New Roman" w:cs="Times New Roman"/>
                <w:sz w:val="20"/>
                <w:szCs w:val="20"/>
              </w:rPr>
              <w:t>a. Dependent Variable: Ethical and Innovative Governance</w:t>
            </w:r>
          </w:p>
        </w:tc>
      </w:tr>
    </w:tbl>
    <w:p w:rsidR="003566EE" w:rsidRPr="00D67A50" w:rsidRDefault="003566EE" w:rsidP="00F374AF">
      <w:pPr>
        <w:spacing w:after="0" w:line="240" w:lineRule="auto"/>
        <w:ind w:left="-540"/>
        <w:rPr>
          <w:sz w:val="24"/>
          <w:szCs w:val="24"/>
        </w:rPr>
      </w:pPr>
    </w:p>
    <w:p w:rsidR="003566EE" w:rsidRPr="00304776" w:rsidRDefault="003566EE" w:rsidP="00680F63">
      <w:pPr>
        <w:autoSpaceDE w:val="0"/>
        <w:autoSpaceDN w:val="0"/>
        <w:adjustRightInd w:val="0"/>
        <w:spacing w:after="0" w:line="360" w:lineRule="auto"/>
        <w:ind w:left="180" w:right="360" w:firstLine="540"/>
        <w:jc w:val="both"/>
        <w:rPr>
          <w:rFonts w:ascii="Times New Roman" w:hAnsi="Times New Roman" w:cs="Times New Roman"/>
          <w:sz w:val="20"/>
          <w:szCs w:val="24"/>
        </w:rPr>
      </w:pPr>
      <w:r w:rsidRPr="00304776">
        <w:rPr>
          <w:rFonts w:ascii="Times New Roman" w:hAnsi="Times New Roman" w:cs="Times New Roman"/>
          <w:sz w:val="20"/>
          <w:szCs w:val="24"/>
        </w:rPr>
        <w:t>As shown in Table 9, the computed P-values on the regression analysis between the level of compliance in terms of student services, physical facilities and other factors; and ethical and innovative governance of State Universities and Colleges (SUCs), Local Universities and Colleges (LUCs) and Private Higher Education Institutions (PHEIs)</w:t>
      </w:r>
      <w:r w:rsidRPr="00304776">
        <w:rPr>
          <w:rFonts w:ascii="Times New Roman" w:hAnsi="Times New Roman" w:cs="Times New Roman"/>
          <w:b/>
          <w:sz w:val="20"/>
          <w:szCs w:val="24"/>
        </w:rPr>
        <w:t xml:space="preserve"> </w:t>
      </w:r>
      <w:r w:rsidRPr="00304776">
        <w:rPr>
          <w:rFonts w:ascii="Times New Roman" w:hAnsi="Times New Roman" w:cs="Times New Roman"/>
          <w:sz w:val="20"/>
          <w:szCs w:val="24"/>
        </w:rPr>
        <w:t>are 0.020, 0.008 and 0.000, respectively, which is lower than 0.05 level of significance.  On the other hand, governance and management, quality of teaching and research faculty, curriculum, and community extension/outreach have p-values of 0.186, 0.447, 0.782 and 0.534, respectively, which are higher than the 0.05 level of significance.</w:t>
      </w:r>
    </w:p>
    <w:p w:rsidR="003566EE" w:rsidRPr="00304776" w:rsidRDefault="003566EE" w:rsidP="00680F63">
      <w:pPr>
        <w:autoSpaceDE w:val="0"/>
        <w:autoSpaceDN w:val="0"/>
        <w:adjustRightInd w:val="0"/>
        <w:spacing w:after="0" w:line="360" w:lineRule="auto"/>
        <w:ind w:left="180" w:right="360"/>
        <w:jc w:val="both"/>
        <w:rPr>
          <w:rFonts w:ascii="Times New Roman" w:hAnsi="Times New Roman" w:cs="Times New Roman"/>
          <w:sz w:val="20"/>
          <w:szCs w:val="24"/>
        </w:rPr>
      </w:pPr>
    </w:p>
    <w:p w:rsidR="000931A8" w:rsidRPr="00304776" w:rsidRDefault="003566EE" w:rsidP="00680F63">
      <w:pPr>
        <w:autoSpaceDE w:val="0"/>
        <w:autoSpaceDN w:val="0"/>
        <w:adjustRightInd w:val="0"/>
        <w:spacing w:after="0" w:line="360" w:lineRule="auto"/>
        <w:ind w:left="180" w:right="360" w:firstLine="540"/>
        <w:jc w:val="both"/>
        <w:rPr>
          <w:rFonts w:ascii="Times New Roman" w:hAnsi="Times New Roman" w:cs="Times New Roman"/>
          <w:sz w:val="20"/>
          <w:szCs w:val="24"/>
        </w:rPr>
      </w:pPr>
      <w:r w:rsidRPr="00304776">
        <w:rPr>
          <w:rFonts w:ascii="Times New Roman" w:hAnsi="Times New Roman" w:cs="Times New Roman"/>
          <w:sz w:val="20"/>
          <w:szCs w:val="24"/>
        </w:rPr>
        <w:t xml:space="preserve">The results indicated that student services, physical facilities and other factors are significant predictors of ethical and innovative of State Universities and Colleges (SUCs), Local Universities and </w:t>
      </w:r>
      <w:r w:rsidRPr="00304776">
        <w:rPr>
          <w:rFonts w:ascii="Times New Roman" w:hAnsi="Times New Roman" w:cs="Times New Roman"/>
          <w:sz w:val="20"/>
          <w:szCs w:val="24"/>
        </w:rPr>
        <w:lastRenderedPageBreak/>
        <w:t>Colleges (LUCs) and Private Higher Education Institutions (PHEIs), while governance and management, quality of teaching and research faculty, curriculum, and community extension/outreach are not.  Thus, there is a need for the three categories of higher education institutions (HEIs) to strengthen the compliance in student services, physical facilities and other factors such as linkages and library facilities in order to attain achievement on ethical and innovative governance.</w:t>
      </w:r>
    </w:p>
    <w:p w:rsidR="00792565" w:rsidRPr="00304776" w:rsidRDefault="00792565" w:rsidP="00680F63">
      <w:pPr>
        <w:tabs>
          <w:tab w:val="left" w:pos="-90"/>
        </w:tabs>
        <w:autoSpaceDE w:val="0"/>
        <w:autoSpaceDN w:val="0"/>
        <w:adjustRightInd w:val="0"/>
        <w:spacing w:after="0" w:line="360" w:lineRule="auto"/>
        <w:ind w:left="-540"/>
        <w:jc w:val="both"/>
        <w:rPr>
          <w:rFonts w:ascii="Times New Roman" w:hAnsi="Times New Roman" w:cs="Times New Roman"/>
          <w:b/>
          <w:color w:val="000000"/>
          <w:sz w:val="20"/>
          <w:szCs w:val="24"/>
        </w:rPr>
      </w:pPr>
    </w:p>
    <w:p w:rsidR="003566EE" w:rsidRPr="00680F63" w:rsidRDefault="00680F63" w:rsidP="00FC6D57">
      <w:pPr>
        <w:tabs>
          <w:tab w:val="left" w:pos="-90"/>
        </w:tabs>
        <w:autoSpaceDE w:val="0"/>
        <w:autoSpaceDN w:val="0"/>
        <w:adjustRightInd w:val="0"/>
        <w:spacing w:after="0" w:line="240" w:lineRule="auto"/>
        <w:jc w:val="both"/>
        <w:rPr>
          <w:rFonts w:ascii="Times New Roman" w:hAnsi="Times New Roman" w:cs="Times New Roman"/>
          <w:b/>
          <w:color w:val="000000"/>
          <w:szCs w:val="24"/>
        </w:rPr>
      </w:pPr>
      <w:r>
        <w:rPr>
          <w:rFonts w:ascii="Times New Roman" w:hAnsi="Times New Roman" w:cs="Times New Roman"/>
          <w:b/>
          <w:caps/>
          <w:color w:val="000000"/>
          <w:szCs w:val="24"/>
        </w:rPr>
        <w:t>C</w:t>
      </w:r>
      <w:r>
        <w:rPr>
          <w:rFonts w:ascii="Times New Roman" w:hAnsi="Times New Roman" w:cs="Times New Roman"/>
          <w:b/>
          <w:color w:val="000000"/>
          <w:szCs w:val="24"/>
        </w:rPr>
        <w:t>onclusions</w:t>
      </w:r>
    </w:p>
    <w:p w:rsidR="00792565" w:rsidRPr="00304776" w:rsidRDefault="00792565" w:rsidP="00FC6D57">
      <w:pPr>
        <w:pStyle w:val="ListParagraph"/>
        <w:autoSpaceDE w:val="0"/>
        <w:autoSpaceDN w:val="0"/>
        <w:adjustRightInd w:val="0"/>
        <w:spacing w:after="0" w:line="240" w:lineRule="auto"/>
        <w:ind w:left="0"/>
        <w:jc w:val="both"/>
        <w:rPr>
          <w:rFonts w:ascii="Times New Roman" w:hAnsi="Times New Roman" w:cs="Times New Roman"/>
          <w:color w:val="000000"/>
          <w:sz w:val="20"/>
          <w:szCs w:val="24"/>
        </w:rPr>
      </w:pPr>
    </w:p>
    <w:p w:rsidR="003566EE" w:rsidRPr="00304776" w:rsidRDefault="003566EE" w:rsidP="00680F63">
      <w:pPr>
        <w:tabs>
          <w:tab w:val="left" w:pos="9090"/>
        </w:tabs>
        <w:autoSpaceDE w:val="0"/>
        <w:autoSpaceDN w:val="0"/>
        <w:adjustRightInd w:val="0"/>
        <w:spacing w:after="0" w:line="360" w:lineRule="auto"/>
        <w:ind w:firstLine="720"/>
        <w:jc w:val="both"/>
        <w:rPr>
          <w:rFonts w:ascii="Times New Roman" w:hAnsi="Times New Roman" w:cs="Times New Roman"/>
          <w:color w:val="000000"/>
          <w:sz w:val="20"/>
          <w:szCs w:val="24"/>
        </w:rPr>
      </w:pPr>
      <w:r w:rsidRPr="00304776">
        <w:rPr>
          <w:rFonts w:ascii="Times New Roman" w:hAnsi="Times New Roman" w:cs="Times New Roman"/>
          <w:color w:val="000000"/>
          <w:sz w:val="20"/>
          <w:szCs w:val="24"/>
        </w:rPr>
        <w:t xml:space="preserve">Quality assurance is almost around the corner as it is being talked about and promoted in various agencies, organizations, companies, offices, programs, and projects. In particular, the Commission on Higher Education, the governing body which oversees the operations of higher education institutions and program offerings in the Philippines, is adamant to ensure quality education in the tertiary level.  It formulates policies, standards and guidelines in order that quality be implemented. One measure that the CHED has implemented to promote quality in higher education is the conduct of monitoring and evaluation of higher education institutions to determine whether they are compliant to the policies, standards, and guidelines and meeting the minimum requirements or going beyond.       </w:t>
      </w:r>
    </w:p>
    <w:p w:rsidR="00792565" w:rsidRPr="00304776" w:rsidRDefault="00792565" w:rsidP="00680F63">
      <w:pPr>
        <w:autoSpaceDE w:val="0"/>
        <w:autoSpaceDN w:val="0"/>
        <w:adjustRightInd w:val="0"/>
        <w:spacing w:after="0" w:line="360" w:lineRule="auto"/>
        <w:ind w:firstLine="720"/>
        <w:jc w:val="both"/>
        <w:rPr>
          <w:rFonts w:ascii="Times New Roman" w:hAnsi="Times New Roman" w:cs="Times New Roman"/>
          <w:color w:val="000000"/>
          <w:sz w:val="20"/>
          <w:szCs w:val="24"/>
        </w:rPr>
      </w:pPr>
    </w:p>
    <w:p w:rsidR="003566EE" w:rsidRPr="00304776" w:rsidRDefault="003566EE" w:rsidP="00680F63">
      <w:pPr>
        <w:autoSpaceDE w:val="0"/>
        <w:autoSpaceDN w:val="0"/>
        <w:adjustRightInd w:val="0"/>
        <w:spacing w:after="0" w:line="360" w:lineRule="auto"/>
        <w:ind w:firstLine="720"/>
        <w:jc w:val="both"/>
        <w:rPr>
          <w:rFonts w:ascii="Times New Roman" w:hAnsi="Times New Roman" w:cs="Times New Roman"/>
          <w:color w:val="000000"/>
          <w:sz w:val="20"/>
          <w:szCs w:val="24"/>
        </w:rPr>
      </w:pPr>
      <w:r w:rsidRPr="00304776">
        <w:rPr>
          <w:rFonts w:ascii="Times New Roman" w:hAnsi="Times New Roman" w:cs="Times New Roman"/>
          <w:color w:val="000000"/>
          <w:sz w:val="20"/>
          <w:szCs w:val="24"/>
        </w:rPr>
        <w:t>Based on the findings, the researcher concludes the following:</w:t>
      </w:r>
    </w:p>
    <w:p w:rsidR="00792565" w:rsidRPr="00304776" w:rsidRDefault="00792565" w:rsidP="00680F63">
      <w:pPr>
        <w:autoSpaceDE w:val="0"/>
        <w:autoSpaceDN w:val="0"/>
        <w:adjustRightInd w:val="0"/>
        <w:spacing w:after="0" w:line="360" w:lineRule="auto"/>
        <w:ind w:firstLine="720"/>
        <w:jc w:val="both"/>
        <w:rPr>
          <w:rFonts w:ascii="Times New Roman" w:hAnsi="Times New Roman" w:cs="Times New Roman"/>
          <w:color w:val="000000"/>
          <w:sz w:val="20"/>
          <w:szCs w:val="24"/>
        </w:rPr>
      </w:pPr>
    </w:p>
    <w:p w:rsidR="00792565" w:rsidRPr="00304776" w:rsidRDefault="00304776" w:rsidP="00680F63">
      <w:pPr>
        <w:pStyle w:val="ListParagraph"/>
        <w:numPr>
          <w:ilvl w:val="0"/>
          <w:numId w:val="6"/>
        </w:numPr>
        <w:autoSpaceDE w:val="0"/>
        <w:autoSpaceDN w:val="0"/>
        <w:adjustRightInd w:val="0"/>
        <w:spacing w:after="0" w:line="360" w:lineRule="auto"/>
        <w:ind w:left="360"/>
        <w:jc w:val="both"/>
        <w:rPr>
          <w:rFonts w:ascii="Times New Roman" w:hAnsi="Times New Roman" w:cs="Times New Roman"/>
          <w:color w:val="000000"/>
          <w:sz w:val="20"/>
          <w:szCs w:val="24"/>
        </w:rPr>
      </w:pPr>
      <w:r w:rsidRPr="00304776">
        <w:rPr>
          <w:rFonts w:ascii="Times New Roman" w:hAnsi="Times New Roman" w:cs="Times New Roman"/>
          <w:color w:val="000000"/>
          <w:sz w:val="20"/>
          <w:szCs w:val="24"/>
        </w:rPr>
        <w:t>T</w:t>
      </w:r>
      <w:r w:rsidR="00792565" w:rsidRPr="00304776">
        <w:rPr>
          <w:rFonts w:ascii="Times New Roman" w:hAnsi="Times New Roman" w:cs="Times New Roman"/>
          <w:color w:val="000000"/>
          <w:sz w:val="20"/>
          <w:szCs w:val="24"/>
        </w:rPr>
        <w:t xml:space="preserve">he critical analysis of the extent of compliance </w:t>
      </w:r>
      <w:r w:rsidR="00680F63">
        <w:rPr>
          <w:rFonts w:ascii="Times New Roman" w:hAnsi="Times New Roman" w:cs="Times New Roman"/>
          <w:color w:val="000000"/>
          <w:sz w:val="20"/>
          <w:szCs w:val="24"/>
        </w:rPr>
        <w:t>of HEIs has helped indicate the</w:t>
      </w:r>
      <w:r w:rsidRPr="00304776">
        <w:rPr>
          <w:rFonts w:ascii="Times New Roman" w:hAnsi="Times New Roman" w:cs="Times New Roman"/>
          <w:color w:val="000000"/>
          <w:sz w:val="20"/>
          <w:szCs w:val="24"/>
        </w:rPr>
        <w:t xml:space="preserve"> </w:t>
      </w:r>
      <w:r w:rsidR="00792565" w:rsidRPr="00304776">
        <w:rPr>
          <w:rFonts w:ascii="Times New Roman" w:hAnsi="Times New Roman" w:cs="Times New Roman"/>
          <w:color w:val="000000"/>
          <w:sz w:val="20"/>
          <w:szCs w:val="24"/>
        </w:rPr>
        <w:t>achievement of quality assurance in CALABARZON which is based on the four key result areas (KRAs) of CHED as follows: access, capacity building, excellence and innovative and ethical governance. It is supported by the semi-structured interview.   Using this method has helped the researcher fully evaluate which among the areas need focus and attention by CHED to make them more relevant and effective.</w:t>
      </w:r>
    </w:p>
    <w:p w:rsidR="00792565" w:rsidRPr="00304776" w:rsidRDefault="00792565" w:rsidP="00680F63">
      <w:pPr>
        <w:pStyle w:val="ListParagraph"/>
        <w:numPr>
          <w:ilvl w:val="0"/>
          <w:numId w:val="6"/>
        </w:numPr>
        <w:spacing w:after="0" w:line="360" w:lineRule="auto"/>
        <w:ind w:left="360"/>
        <w:jc w:val="both"/>
        <w:rPr>
          <w:rFonts w:ascii="Times New Roman" w:eastAsia="Calibri" w:hAnsi="Times New Roman" w:cs="Times New Roman"/>
          <w:sz w:val="20"/>
          <w:szCs w:val="28"/>
        </w:rPr>
      </w:pPr>
      <w:r w:rsidRPr="00304776">
        <w:rPr>
          <w:rFonts w:ascii="Times New Roman" w:eastAsia="Calibri" w:hAnsi="Times New Roman" w:cs="Times New Roman"/>
          <w:sz w:val="20"/>
          <w:szCs w:val="28"/>
        </w:rPr>
        <w:t>Local Universities and Colleges (LUCs) are inadequate on the aspect of physical facilities of CHED Region IV-A Monitoring and Evaluation Tool.</w:t>
      </w:r>
    </w:p>
    <w:p w:rsidR="00792565" w:rsidRPr="00304776" w:rsidRDefault="00792565" w:rsidP="00680F63">
      <w:pPr>
        <w:pStyle w:val="ListParagraph"/>
        <w:numPr>
          <w:ilvl w:val="0"/>
          <w:numId w:val="6"/>
        </w:numPr>
        <w:spacing w:after="0" w:line="360" w:lineRule="auto"/>
        <w:ind w:left="360"/>
        <w:jc w:val="both"/>
        <w:rPr>
          <w:rFonts w:ascii="Times New Roman" w:eastAsia="Calibri" w:hAnsi="Times New Roman" w:cs="Times New Roman"/>
          <w:sz w:val="20"/>
          <w:szCs w:val="28"/>
        </w:rPr>
      </w:pPr>
      <w:r w:rsidRPr="00304776">
        <w:rPr>
          <w:rFonts w:ascii="Times New Roman" w:eastAsia="Calibri" w:hAnsi="Times New Roman" w:cs="Times New Roman"/>
          <w:sz w:val="20"/>
          <w:szCs w:val="28"/>
        </w:rPr>
        <w:t>Private Higher Education Institutions (PHEIs) in CALABARZON are responsive to the compliance of CHED IV-A Monitoring and Evaluation Tool.</w:t>
      </w:r>
    </w:p>
    <w:p w:rsidR="00792565" w:rsidRPr="00304776" w:rsidRDefault="00792565" w:rsidP="00680F63">
      <w:pPr>
        <w:pStyle w:val="ListParagraph"/>
        <w:numPr>
          <w:ilvl w:val="0"/>
          <w:numId w:val="6"/>
        </w:numPr>
        <w:spacing w:after="0" w:line="360" w:lineRule="auto"/>
        <w:ind w:left="360"/>
        <w:jc w:val="both"/>
        <w:rPr>
          <w:rFonts w:ascii="Times New Roman" w:eastAsia="Calibri" w:hAnsi="Times New Roman" w:cs="Times New Roman"/>
          <w:sz w:val="20"/>
          <w:szCs w:val="28"/>
        </w:rPr>
      </w:pPr>
      <w:r w:rsidRPr="00304776">
        <w:rPr>
          <w:rFonts w:ascii="Times New Roman" w:eastAsia="Calibri" w:hAnsi="Times New Roman" w:cs="Times New Roman"/>
          <w:sz w:val="20"/>
          <w:szCs w:val="28"/>
        </w:rPr>
        <w:t>The CHED IV-A Monitoring and Evaluation activity helps in achieving quality assurance of SUCS, LUCs, and PHEIs.</w:t>
      </w:r>
    </w:p>
    <w:p w:rsidR="00792565" w:rsidRPr="00304776" w:rsidRDefault="00792565" w:rsidP="00680F63">
      <w:pPr>
        <w:pStyle w:val="ListParagraph"/>
        <w:numPr>
          <w:ilvl w:val="0"/>
          <w:numId w:val="6"/>
        </w:numPr>
        <w:spacing w:after="0" w:line="360" w:lineRule="auto"/>
        <w:ind w:left="360"/>
        <w:jc w:val="both"/>
        <w:rPr>
          <w:rFonts w:ascii="Times New Roman" w:eastAsia="Calibri" w:hAnsi="Times New Roman" w:cs="Times New Roman"/>
          <w:sz w:val="20"/>
          <w:szCs w:val="28"/>
        </w:rPr>
      </w:pPr>
      <w:r w:rsidRPr="00304776">
        <w:rPr>
          <w:rFonts w:ascii="Times New Roman" w:eastAsia="Calibri" w:hAnsi="Times New Roman" w:cs="Times New Roman"/>
          <w:sz w:val="20"/>
          <w:szCs w:val="28"/>
        </w:rPr>
        <w:t>There is a significant relationship between the level of compliance of SUCs, LUCs, and PHEIs and achievement with respect to most aspects and extent of achievement of quality assurance except for quality of teaching and research faculty.</w:t>
      </w:r>
    </w:p>
    <w:p w:rsidR="00792565" w:rsidRDefault="00792565" w:rsidP="00680F63">
      <w:pPr>
        <w:pStyle w:val="ListParagraph"/>
        <w:numPr>
          <w:ilvl w:val="0"/>
          <w:numId w:val="6"/>
        </w:numPr>
        <w:spacing w:after="0" w:line="360" w:lineRule="auto"/>
        <w:ind w:left="360"/>
        <w:jc w:val="both"/>
        <w:rPr>
          <w:rFonts w:ascii="Times New Roman" w:eastAsia="Calibri" w:hAnsi="Times New Roman" w:cs="Times New Roman"/>
          <w:sz w:val="20"/>
          <w:szCs w:val="28"/>
        </w:rPr>
      </w:pPr>
      <w:r w:rsidRPr="00304776">
        <w:rPr>
          <w:rFonts w:ascii="Times New Roman" w:eastAsia="Calibri" w:hAnsi="Times New Roman" w:cs="Times New Roman"/>
          <w:sz w:val="20"/>
          <w:szCs w:val="28"/>
        </w:rPr>
        <w:t>There are other factors which can predict achievement of quality assurance of SUCs, LUCs, and PHEIs.</w:t>
      </w:r>
    </w:p>
    <w:p w:rsidR="00304776" w:rsidRPr="00304776" w:rsidRDefault="00304776" w:rsidP="00680F63">
      <w:pPr>
        <w:tabs>
          <w:tab w:val="left" w:pos="0"/>
        </w:tabs>
        <w:spacing w:after="0" w:line="360" w:lineRule="auto"/>
        <w:jc w:val="both"/>
        <w:rPr>
          <w:rFonts w:ascii="Times New Roman" w:eastAsia="Calibri" w:hAnsi="Times New Roman" w:cs="Times New Roman"/>
          <w:sz w:val="20"/>
          <w:szCs w:val="28"/>
        </w:rPr>
      </w:pPr>
    </w:p>
    <w:p w:rsidR="00680F63" w:rsidRDefault="00680F63" w:rsidP="00680F63">
      <w:pPr>
        <w:autoSpaceDE w:val="0"/>
        <w:autoSpaceDN w:val="0"/>
        <w:adjustRightInd w:val="0"/>
        <w:spacing w:after="0" w:line="360" w:lineRule="auto"/>
        <w:jc w:val="both"/>
        <w:rPr>
          <w:rFonts w:ascii="Times New Roman" w:hAnsi="Times New Roman" w:cs="Times New Roman"/>
          <w:b/>
          <w:caps/>
          <w:color w:val="000000"/>
          <w:sz w:val="20"/>
          <w:szCs w:val="24"/>
        </w:rPr>
      </w:pPr>
    </w:p>
    <w:p w:rsidR="00680F63" w:rsidRDefault="00680F63" w:rsidP="00680F63">
      <w:pPr>
        <w:autoSpaceDE w:val="0"/>
        <w:autoSpaceDN w:val="0"/>
        <w:adjustRightInd w:val="0"/>
        <w:spacing w:after="0" w:line="360" w:lineRule="auto"/>
        <w:jc w:val="both"/>
        <w:rPr>
          <w:rFonts w:ascii="Times New Roman" w:hAnsi="Times New Roman" w:cs="Times New Roman"/>
          <w:b/>
          <w:caps/>
          <w:color w:val="000000"/>
          <w:sz w:val="20"/>
          <w:szCs w:val="24"/>
        </w:rPr>
      </w:pPr>
    </w:p>
    <w:p w:rsidR="00680F63" w:rsidRDefault="00680F63" w:rsidP="00680F63">
      <w:pPr>
        <w:autoSpaceDE w:val="0"/>
        <w:autoSpaceDN w:val="0"/>
        <w:adjustRightInd w:val="0"/>
        <w:spacing w:after="0" w:line="360" w:lineRule="auto"/>
        <w:jc w:val="both"/>
        <w:rPr>
          <w:rFonts w:ascii="Times New Roman" w:hAnsi="Times New Roman" w:cs="Times New Roman"/>
          <w:b/>
          <w:caps/>
          <w:color w:val="000000"/>
          <w:sz w:val="20"/>
          <w:szCs w:val="24"/>
        </w:rPr>
      </w:pPr>
    </w:p>
    <w:p w:rsidR="00304776" w:rsidRDefault="00304776" w:rsidP="00680F63">
      <w:pPr>
        <w:autoSpaceDE w:val="0"/>
        <w:autoSpaceDN w:val="0"/>
        <w:adjustRightInd w:val="0"/>
        <w:spacing w:after="0" w:line="360" w:lineRule="auto"/>
        <w:jc w:val="both"/>
        <w:rPr>
          <w:rFonts w:ascii="Times New Roman" w:hAnsi="Times New Roman" w:cs="Times New Roman"/>
          <w:b/>
          <w:color w:val="000000"/>
          <w:sz w:val="20"/>
          <w:szCs w:val="24"/>
        </w:rPr>
      </w:pPr>
      <w:r w:rsidRPr="00252801">
        <w:rPr>
          <w:rFonts w:ascii="Times New Roman" w:hAnsi="Times New Roman" w:cs="Times New Roman"/>
          <w:b/>
          <w:caps/>
          <w:color w:val="000000"/>
          <w:sz w:val="20"/>
          <w:szCs w:val="24"/>
        </w:rPr>
        <w:lastRenderedPageBreak/>
        <w:t>R</w:t>
      </w:r>
      <w:r w:rsidR="00680F63">
        <w:rPr>
          <w:rFonts w:ascii="Times New Roman" w:hAnsi="Times New Roman" w:cs="Times New Roman"/>
          <w:b/>
          <w:color w:val="000000"/>
          <w:sz w:val="20"/>
          <w:szCs w:val="24"/>
        </w:rPr>
        <w:t>ecommendation</w:t>
      </w:r>
    </w:p>
    <w:p w:rsidR="00680F63" w:rsidRPr="00680F63" w:rsidRDefault="00680F63" w:rsidP="00680F63">
      <w:pPr>
        <w:autoSpaceDE w:val="0"/>
        <w:autoSpaceDN w:val="0"/>
        <w:adjustRightInd w:val="0"/>
        <w:spacing w:after="0" w:line="360" w:lineRule="auto"/>
        <w:jc w:val="both"/>
        <w:rPr>
          <w:rFonts w:ascii="Times New Roman" w:hAnsi="Times New Roman" w:cs="Times New Roman"/>
          <w:b/>
          <w:color w:val="000000"/>
          <w:sz w:val="20"/>
          <w:szCs w:val="24"/>
        </w:rPr>
      </w:pPr>
    </w:p>
    <w:p w:rsidR="00304776" w:rsidRDefault="00304776" w:rsidP="00680F63">
      <w:pPr>
        <w:autoSpaceDE w:val="0"/>
        <w:autoSpaceDN w:val="0"/>
        <w:adjustRightInd w:val="0"/>
        <w:spacing w:after="0" w:line="360" w:lineRule="auto"/>
        <w:jc w:val="both"/>
        <w:rPr>
          <w:rFonts w:ascii="Times New Roman" w:hAnsi="Times New Roman" w:cs="Times New Roman"/>
          <w:color w:val="000000"/>
          <w:sz w:val="20"/>
          <w:szCs w:val="24"/>
        </w:rPr>
      </w:pPr>
      <w:r w:rsidRPr="00304776">
        <w:rPr>
          <w:rFonts w:ascii="Times New Roman" w:hAnsi="Times New Roman" w:cs="Times New Roman"/>
          <w:b/>
          <w:color w:val="000000"/>
          <w:sz w:val="20"/>
          <w:szCs w:val="24"/>
        </w:rPr>
        <w:tab/>
      </w:r>
      <w:r w:rsidRPr="00304776">
        <w:rPr>
          <w:rFonts w:ascii="Times New Roman" w:hAnsi="Times New Roman" w:cs="Times New Roman"/>
          <w:color w:val="000000"/>
          <w:sz w:val="20"/>
          <w:szCs w:val="24"/>
        </w:rPr>
        <w:t>The following recommendations are put forth by the researcher based on the findings of the study:</w:t>
      </w:r>
    </w:p>
    <w:p w:rsidR="00304776" w:rsidRPr="00304776" w:rsidRDefault="00304776" w:rsidP="00680F63">
      <w:pPr>
        <w:autoSpaceDE w:val="0"/>
        <w:autoSpaceDN w:val="0"/>
        <w:adjustRightInd w:val="0"/>
        <w:spacing w:after="0" w:line="360" w:lineRule="auto"/>
        <w:jc w:val="both"/>
        <w:rPr>
          <w:rFonts w:ascii="Times New Roman" w:hAnsi="Times New Roman" w:cs="Times New Roman"/>
          <w:color w:val="000000"/>
          <w:sz w:val="20"/>
          <w:szCs w:val="24"/>
        </w:rPr>
      </w:pPr>
    </w:p>
    <w:p w:rsidR="00304776" w:rsidRPr="00304776" w:rsidRDefault="00680F63" w:rsidP="00680F63">
      <w:pPr>
        <w:spacing w:line="360" w:lineRule="auto"/>
      </w:pPr>
      <w:r>
        <w:tab/>
      </w:r>
      <w:r w:rsidR="00304776" w:rsidRPr="00304776">
        <w:t xml:space="preserve">Higher education institutions (HEIS) are confronted with gaps on how to fully implement the different aspects of quality assurance with respect to access, capacity building, excellence, and ethical and innovative governance. To address the gaps, quality assurance should be institutionalized so that institutions will be pushed to embrace quality culture. </w:t>
      </w:r>
    </w:p>
    <w:p w:rsidR="00304776" w:rsidRPr="00304776" w:rsidRDefault="00304776" w:rsidP="00680F63">
      <w:pPr>
        <w:pStyle w:val="ListParagraph"/>
        <w:numPr>
          <w:ilvl w:val="0"/>
          <w:numId w:val="7"/>
        </w:numPr>
        <w:spacing w:after="0" w:line="360" w:lineRule="auto"/>
        <w:ind w:left="360"/>
        <w:jc w:val="both"/>
        <w:rPr>
          <w:rFonts w:ascii="Times New Roman" w:eastAsia="Calibri" w:hAnsi="Times New Roman" w:cs="Times New Roman"/>
          <w:sz w:val="20"/>
          <w:szCs w:val="24"/>
        </w:rPr>
      </w:pPr>
      <w:r w:rsidRPr="00304776">
        <w:rPr>
          <w:rFonts w:ascii="Times New Roman" w:eastAsia="Calibri" w:hAnsi="Times New Roman" w:cs="Times New Roman"/>
          <w:sz w:val="20"/>
          <w:szCs w:val="24"/>
        </w:rPr>
        <w:t>The monitoring and evaluation activity of CHED IV-A will be of great help in assisting SUCs, LUCs, and PHEIs which are not “complied completely”.</w:t>
      </w:r>
    </w:p>
    <w:p w:rsidR="00304776" w:rsidRPr="00304776" w:rsidRDefault="00304776" w:rsidP="00680F63">
      <w:pPr>
        <w:pStyle w:val="ListParagraph"/>
        <w:numPr>
          <w:ilvl w:val="0"/>
          <w:numId w:val="7"/>
        </w:numPr>
        <w:spacing w:after="0" w:line="360" w:lineRule="auto"/>
        <w:ind w:left="360"/>
        <w:jc w:val="both"/>
        <w:rPr>
          <w:rFonts w:ascii="Times New Roman" w:eastAsia="Calibri" w:hAnsi="Times New Roman" w:cs="Times New Roman"/>
          <w:sz w:val="20"/>
          <w:szCs w:val="24"/>
        </w:rPr>
      </w:pPr>
      <w:r w:rsidRPr="00304776">
        <w:rPr>
          <w:rFonts w:ascii="Times New Roman" w:eastAsia="Calibri" w:hAnsi="Times New Roman" w:cs="Times New Roman"/>
          <w:sz w:val="20"/>
          <w:szCs w:val="24"/>
        </w:rPr>
        <w:t xml:space="preserve">An enhanced M &amp; E tool should be formulated to capture other indicators not specified in the existing tool. </w:t>
      </w:r>
    </w:p>
    <w:p w:rsidR="00304776" w:rsidRPr="00304776" w:rsidRDefault="00304776" w:rsidP="00680F63">
      <w:pPr>
        <w:pStyle w:val="ListParagraph"/>
        <w:numPr>
          <w:ilvl w:val="0"/>
          <w:numId w:val="7"/>
        </w:numPr>
        <w:spacing w:after="0" w:line="360" w:lineRule="auto"/>
        <w:ind w:left="360"/>
        <w:jc w:val="both"/>
        <w:rPr>
          <w:rFonts w:ascii="Times New Roman" w:eastAsia="Calibri" w:hAnsi="Times New Roman" w:cs="Times New Roman"/>
          <w:sz w:val="20"/>
          <w:szCs w:val="24"/>
        </w:rPr>
      </w:pPr>
      <w:r w:rsidRPr="00304776">
        <w:rPr>
          <w:rFonts w:ascii="Times New Roman" w:eastAsia="Calibri" w:hAnsi="Times New Roman" w:cs="Times New Roman"/>
          <w:sz w:val="20"/>
          <w:szCs w:val="24"/>
        </w:rPr>
        <w:t xml:space="preserve">A clear regional Quality Assurance mechanism should be integrated in HEIs such as the European Bologna Declaration, with commitment and policies, to put them in place. </w:t>
      </w:r>
    </w:p>
    <w:p w:rsidR="007F028E" w:rsidRPr="00680F63" w:rsidRDefault="00304776" w:rsidP="00680F63">
      <w:pPr>
        <w:pStyle w:val="ListParagraph"/>
        <w:numPr>
          <w:ilvl w:val="0"/>
          <w:numId w:val="7"/>
        </w:numPr>
        <w:spacing w:after="0" w:line="360" w:lineRule="auto"/>
        <w:ind w:left="360"/>
        <w:rPr>
          <w:rFonts w:ascii="Times New Roman" w:hAnsi="Times New Roman" w:cs="Times New Roman"/>
          <w:sz w:val="20"/>
          <w:szCs w:val="20"/>
        </w:rPr>
      </w:pPr>
      <w:r w:rsidRPr="00304776">
        <w:rPr>
          <w:rFonts w:ascii="Times New Roman" w:eastAsia="Calibri" w:hAnsi="Times New Roman" w:cs="Times New Roman"/>
          <w:sz w:val="20"/>
          <w:szCs w:val="24"/>
        </w:rPr>
        <w:t>The monitoring and evaluation of HEIs in Region IV-A should be intensified to measure its effectiveness and reporting of results should be properly documented and well-kept for the success</w:t>
      </w:r>
      <w:r w:rsidRPr="00304776">
        <w:rPr>
          <w:rFonts w:eastAsia="Calibri"/>
          <w:sz w:val="24"/>
          <w:szCs w:val="24"/>
        </w:rPr>
        <w:t xml:space="preserve"> of the system in higher education.</w:t>
      </w:r>
    </w:p>
    <w:p w:rsidR="007F028E" w:rsidRDefault="007F028E" w:rsidP="00FC6D57">
      <w:pPr>
        <w:spacing w:after="0" w:line="240" w:lineRule="auto"/>
        <w:rPr>
          <w:rFonts w:ascii="Times New Roman" w:hAnsi="Times New Roman" w:cs="Times New Roman"/>
          <w:b/>
          <w:szCs w:val="20"/>
        </w:rPr>
      </w:pPr>
    </w:p>
    <w:p w:rsidR="007F028E" w:rsidRDefault="007F028E" w:rsidP="00FC6D57">
      <w:pPr>
        <w:spacing w:after="0" w:line="240" w:lineRule="auto"/>
        <w:rPr>
          <w:rFonts w:ascii="Times New Roman" w:hAnsi="Times New Roman" w:cs="Times New Roman"/>
          <w:b/>
          <w:szCs w:val="20"/>
        </w:rPr>
      </w:pPr>
      <w:r w:rsidRPr="007F028E">
        <w:rPr>
          <w:rFonts w:ascii="Times New Roman" w:hAnsi="Times New Roman" w:cs="Times New Roman"/>
          <w:b/>
          <w:szCs w:val="20"/>
        </w:rPr>
        <w:t>REFERENCES</w:t>
      </w:r>
    </w:p>
    <w:p w:rsidR="007F028E" w:rsidRDefault="007F028E" w:rsidP="00FC6D57">
      <w:pPr>
        <w:spacing w:after="0" w:line="240" w:lineRule="auto"/>
        <w:rPr>
          <w:rFonts w:ascii="Times New Roman" w:hAnsi="Times New Roman" w:cs="Times New Roman"/>
          <w:b/>
          <w:szCs w:val="20"/>
        </w:rPr>
      </w:pPr>
    </w:p>
    <w:p w:rsidR="00AB56C9" w:rsidRDefault="00AB56C9" w:rsidP="00680F63">
      <w:pPr>
        <w:tabs>
          <w:tab w:val="left" w:pos="1260"/>
        </w:tabs>
        <w:spacing w:line="360" w:lineRule="auto"/>
        <w:ind w:left="630" w:hanging="634"/>
        <w:jc w:val="both"/>
        <w:rPr>
          <w:sz w:val="24"/>
          <w:szCs w:val="24"/>
        </w:rPr>
      </w:pPr>
      <w:r>
        <w:rPr>
          <w:sz w:val="24"/>
          <w:szCs w:val="24"/>
        </w:rPr>
        <w:t>Asian Development Bank (ADB) (2011). Improving Instructional Quality on Faculty Development.</w:t>
      </w:r>
    </w:p>
    <w:p w:rsidR="00AB56C9" w:rsidRDefault="00AB56C9" w:rsidP="00680F63">
      <w:pPr>
        <w:tabs>
          <w:tab w:val="left" w:pos="1260"/>
        </w:tabs>
        <w:spacing w:line="360" w:lineRule="auto"/>
        <w:ind w:left="630" w:hanging="634"/>
        <w:jc w:val="both"/>
        <w:rPr>
          <w:sz w:val="24"/>
          <w:szCs w:val="24"/>
        </w:rPr>
      </w:pPr>
      <w:proofErr w:type="spellStart"/>
      <w:r>
        <w:rPr>
          <w:sz w:val="24"/>
          <w:szCs w:val="24"/>
        </w:rPr>
        <w:t>Brunsson</w:t>
      </w:r>
      <w:proofErr w:type="spellEnd"/>
      <w:r>
        <w:rPr>
          <w:sz w:val="24"/>
          <w:szCs w:val="24"/>
        </w:rPr>
        <w:t xml:space="preserve">, N. (1995). Ideas and actions: Justification and hypocrisy as alternatives to control. </w:t>
      </w:r>
      <w:r w:rsidRPr="00F71097">
        <w:rPr>
          <w:i/>
          <w:sz w:val="24"/>
          <w:szCs w:val="24"/>
        </w:rPr>
        <w:t>In Research in the Sociology of Organization</w:t>
      </w:r>
      <w:r>
        <w:rPr>
          <w:sz w:val="24"/>
          <w:szCs w:val="24"/>
        </w:rPr>
        <w:t xml:space="preserve"> p: 211-235</w:t>
      </w:r>
    </w:p>
    <w:p w:rsidR="00AB56C9" w:rsidRDefault="00AB56C9" w:rsidP="00680F63">
      <w:pPr>
        <w:tabs>
          <w:tab w:val="left" w:pos="450"/>
        </w:tabs>
        <w:spacing w:line="360" w:lineRule="auto"/>
        <w:ind w:left="720" w:hanging="720"/>
        <w:jc w:val="both"/>
        <w:rPr>
          <w:sz w:val="24"/>
          <w:szCs w:val="24"/>
        </w:rPr>
      </w:pPr>
      <w:r>
        <w:rPr>
          <w:sz w:val="24"/>
          <w:szCs w:val="24"/>
        </w:rPr>
        <w:t>CMO 17, s. 2016, Designated Centers of Excellence (COEs) and Centers of Development (CODs) for Teacher Education</w:t>
      </w:r>
    </w:p>
    <w:p w:rsidR="007F028E" w:rsidRDefault="007F028E" w:rsidP="00680F63">
      <w:pPr>
        <w:tabs>
          <w:tab w:val="left" w:pos="450"/>
        </w:tabs>
        <w:spacing w:line="360" w:lineRule="auto"/>
        <w:ind w:left="720" w:hanging="720"/>
        <w:jc w:val="both"/>
        <w:rPr>
          <w:sz w:val="24"/>
          <w:szCs w:val="24"/>
        </w:rPr>
      </w:pPr>
      <w:r>
        <w:rPr>
          <w:sz w:val="24"/>
          <w:szCs w:val="24"/>
        </w:rPr>
        <w:t>CMO 20, s. 2016, Private Higher Education Institutions granted Autonomous and Deregulated Status</w:t>
      </w:r>
    </w:p>
    <w:p w:rsidR="00AB56C9" w:rsidRDefault="00AB56C9" w:rsidP="00680F63">
      <w:pPr>
        <w:tabs>
          <w:tab w:val="left" w:pos="1260"/>
        </w:tabs>
        <w:spacing w:line="360" w:lineRule="auto"/>
        <w:ind w:left="720" w:hanging="724"/>
        <w:jc w:val="both"/>
        <w:rPr>
          <w:sz w:val="24"/>
          <w:szCs w:val="24"/>
        </w:rPr>
      </w:pPr>
      <w:r>
        <w:rPr>
          <w:sz w:val="24"/>
          <w:szCs w:val="24"/>
        </w:rPr>
        <w:t xml:space="preserve">Doyle L. Brady, A.M., &amp; Byrne, G. (2009). </w:t>
      </w:r>
      <w:r w:rsidRPr="00606D86">
        <w:rPr>
          <w:i/>
          <w:sz w:val="24"/>
          <w:szCs w:val="24"/>
        </w:rPr>
        <w:t>An overview of mixed methods research</w:t>
      </w:r>
      <w:r>
        <w:rPr>
          <w:sz w:val="24"/>
          <w:szCs w:val="24"/>
        </w:rPr>
        <w:t>. Journal of Research in Nursing, 14(2), 175-185.</w:t>
      </w:r>
    </w:p>
    <w:p w:rsidR="00AB56C9" w:rsidRDefault="00AB56C9" w:rsidP="00D3255D">
      <w:pPr>
        <w:tabs>
          <w:tab w:val="left" w:pos="1260"/>
        </w:tabs>
        <w:spacing w:line="360" w:lineRule="auto"/>
        <w:ind w:left="720" w:hanging="724"/>
        <w:jc w:val="both"/>
        <w:rPr>
          <w:sz w:val="24"/>
          <w:szCs w:val="24"/>
        </w:rPr>
      </w:pPr>
      <w:r>
        <w:rPr>
          <w:sz w:val="24"/>
          <w:szCs w:val="24"/>
        </w:rPr>
        <w:lastRenderedPageBreak/>
        <w:t>Friend-</w:t>
      </w:r>
      <w:proofErr w:type="spellStart"/>
      <w:r>
        <w:rPr>
          <w:sz w:val="24"/>
          <w:szCs w:val="24"/>
        </w:rPr>
        <w:t>Pe</w:t>
      </w:r>
      <w:bookmarkStart w:id="0" w:name="_GoBack"/>
      <w:bookmarkEnd w:id="0"/>
      <w:r>
        <w:rPr>
          <w:sz w:val="24"/>
          <w:szCs w:val="24"/>
        </w:rPr>
        <w:t>riera</w:t>
      </w:r>
      <w:proofErr w:type="spellEnd"/>
      <w:r>
        <w:rPr>
          <w:sz w:val="24"/>
          <w:szCs w:val="24"/>
        </w:rPr>
        <w:t xml:space="preserve">, J.C., Lutz, K. &amp; </w:t>
      </w:r>
      <w:proofErr w:type="spellStart"/>
      <w:r>
        <w:rPr>
          <w:sz w:val="24"/>
          <w:szCs w:val="24"/>
        </w:rPr>
        <w:t>Heeneus</w:t>
      </w:r>
      <w:proofErr w:type="spellEnd"/>
      <w:r>
        <w:rPr>
          <w:sz w:val="24"/>
          <w:szCs w:val="24"/>
        </w:rPr>
        <w:t>, N. (2003) European Student Handbook on Quality Assurance in Higher Education.</w:t>
      </w:r>
    </w:p>
    <w:p w:rsidR="007F028E" w:rsidRDefault="007F028E" w:rsidP="00D3255D">
      <w:pPr>
        <w:tabs>
          <w:tab w:val="left" w:pos="1260"/>
        </w:tabs>
        <w:spacing w:line="360" w:lineRule="auto"/>
        <w:ind w:left="720" w:hanging="724"/>
        <w:jc w:val="both"/>
        <w:rPr>
          <w:sz w:val="24"/>
          <w:szCs w:val="24"/>
        </w:rPr>
      </w:pPr>
      <w:r>
        <w:rPr>
          <w:sz w:val="24"/>
          <w:szCs w:val="24"/>
        </w:rPr>
        <w:t xml:space="preserve">Lewis, D.R., Handel, D. &amp; </w:t>
      </w:r>
      <w:proofErr w:type="spellStart"/>
      <w:r>
        <w:rPr>
          <w:sz w:val="24"/>
          <w:szCs w:val="24"/>
        </w:rPr>
        <w:t>Demyanchuk</w:t>
      </w:r>
      <w:proofErr w:type="spellEnd"/>
      <w:r>
        <w:rPr>
          <w:sz w:val="24"/>
          <w:szCs w:val="24"/>
        </w:rPr>
        <w:t xml:space="preserve">, A. (2003). </w:t>
      </w:r>
      <w:r w:rsidRPr="00F6101F">
        <w:rPr>
          <w:i/>
          <w:sz w:val="24"/>
          <w:szCs w:val="24"/>
        </w:rPr>
        <w:t>Private Higher Education in Transition Countries</w:t>
      </w:r>
      <w:r>
        <w:rPr>
          <w:sz w:val="24"/>
          <w:szCs w:val="24"/>
        </w:rPr>
        <w:t xml:space="preserve">. Kiev, Ukraine: Publishing House K M </w:t>
      </w:r>
      <w:proofErr w:type="spellStart"/>
      <w:r>
        <w:rPr>
          <w:sz w:val="24"/>
          <w:szCs w:val="24"/>
        </w:rPr>
        <w:t>Academis</w:t>
      </w:r>
      <w:proofErr w:type="spellEnd"/>
    </w:p>
    <w:p w:rsidR="00B3379C" w:rsidRDefault="007F028E" w:rsidP="00D3255D">
      <w:pPr>
        <w:spacing w:line="360" w:lineRule="auto"/>
        <w:ind w:left="630" w:hanging="634"/>
        <w:jc w:val="both"/>
        <w:rPr>
          <w:i/>
          <w:sz w:val="24"/>
          <w:szCs w:val="24"/>
        </w:rPr>
      </w:pPr>
      <w:proofErr w:type="spellStart"/>
      <w:r>
        <w:rPr>
          <w:sz w:val="24"/>
          <w:szCs w:val="24"/>
        </w:rPr>
        <w:t>Tui</w:t>
      </w:r>
      <w:proofErr w:type="spellEnd"/>
      <w:r>
        <w:rPr>
          <w:sz w:val="24"/>
          <w:szCs w:val="24"/>
        </w:rPr>
        <w:t xml:space="preserve">, K.T. &amp; Cheng, Y.C. (2000). Multidimensional teacher performance in the new century: Implications for school management. </w:t>
      </w:r>
      <w:r w:rsidRPr="00FF363E">
        <w:rPr>
          <w:i/>
          <w:sz w:val="24"/>
          <w:szCs w:val="24"/>
        </w:rPr>
        <w:t>Asia-Pacific Educational Research, 912, 184-209.</w:t>
      </w:r>
    </w:p>
    <w:p w:rsidR="00B3379C" w:rsidRPr="00B3379C" w:rsidRDefault="00B3379C" w:rsidP="00D3255D">
      <w:pPr>
        <w:spacing w:line="360" w:lineRule="auto"/>
        <w:ind w:left="630" w:hanging="634"/>
        <w:jc w:val="both"/>
        <w:rPr>
          <w:i/>
          <w:sz w:val="24"/>
          <w:szCs w:val="24"/>
        </w:rPr>
      </w:pPr>
      <w:proofErr w:type="spellStart"/>
      <w:r>
        <w:rPr>
          <w:sz w:val="24"/>
          <w:szCs w:val="24"/>
        </w:rPr>
        <w:t>Sergiovanni</w:t>
      </w:r>
      <w:proofErr w:type="spellEnd"/>
      <w:r>
        <w:rPr>
          <w:sz w:val="24"/>
          <w:szCs w:val="24"/>
        </w:rPr>
        <w:t xml:space="preserve">, T.J. (2000). The lifeworld of leadership: Creating culture, community, and personal meaning in our schools. San Francisco: </w:t>
      </w:r>
      <w:proofErr w:type="spellStart"/>
      <w:r>
        <w:rPr>
          <w:sz w:val="24"/>
          <w:szCs w:val="24"/>
        </w:rPr>
        <w:t>Jossey</w:t>
      </w:r>
      <w:proofErr w:type="spellEnd"/>
      <w:r>
        <w:rPr>
          <w:sz w:val="24"/>
          <w:szCs w:val="24"/>
        </w:rPr>
        <w:t>-Bass.</w:t>
      </w:r>
    </w:p>
    <w:p w:rsidR="00B3379C" w:rsidRDefault="00B3379C" w:rsidP="00D3255D">
      <w:pPr>
        <w:spacing w:line="360" w:lineRule="auto"/>
        <w:ind w:left="630" w:hanging="634"/>
        <w:jc w:val="both"/>
        <w:rPr>
          <w:i/>
          <w:sz w:val="24"/>
          <w:szCs w:val="24"/>
        </w:rPr>
      </w:pPr>
    </w:p>
    <w:p w:rsidR="00AB56C9" w:rsidRPr="00AB56C9" w:rsidRDefault="00AB56C9" w:rsidP="00AB56C9">
      <w:pPr>
        <w:tabs>
          <w:tab w:val="left" w:pos="1260"/>
        </w:tabs>
        <w:ind w:left="360" w:hanging="634"/>
        <w:jc w:val="both"/>
        <w:rPr>
          <w:i/>
          <w:sz w:val="24"/>
          <w:szCs w:val="24"/>
        </w:rPr>
      </w:pPr>
    </w:p>
    <w:p w:rsidR="00AB56C9" w:rsidRPr="00FF363E" w:rsidRDefault="00AB56C9" w:rsidP="007F028E">
      <w:pPr>
        <w:tabs>
          <w:tab w:val="left" w:pos="1260"/>
        </w:tabs>
        <w:ind w:left="360" w:hanging="634"/>
        <w:jc w:val="both"/>
        <w:rPr>
          <w:i/>
          <w:sz w:val="24"/>
          <w:szCs w:val="24"/>
        </w:rPr>
      </w:pPr>
    </w:p>
    <w:p w:rsidR="007F028E" w:rsidRDefault="007F028E" w:rsidP="007F028E">
      <w:pPr>
        <w:tabs>
          <w:tab w:val="left" w:pos="1260"/>
        </w:tabs>
        <w:ind w:left="-274"/>
        <w:jc w:val="both"/>
        <w:rPr>
          <w:sz w:val="24"/>
          <w:szCs w:val="24"/>
        </w:rPr>
      </w:pPr>
    </w:p>
    <w:p w:rsidR="007F028E" w:rsidRDefault="007F028E" w:rsidP="007F028E">
      <w:pPr>
        <w:tabs>
          <w:tab w:val="left" w:pos="1260"/>
        </w:tabs>
        <w:ind w:left="-274"/>
        <w:jc w:val="both"/>
        <w:rPr>
          <w:sz w:val="24"/>
          <w:szCs w:val="24"/>
        </w:rPr>
      </w:pPr>
    </w:p>
    <w:p w:rsidR="007F028E" w:rsidRDefault="007F028E" w:rsidP="007F028E">
      <w:pPr>
        <w:spacing w:after="0" w:line="240" w:lineRule="auto"/>
        <w:ind w:left="-180"/>
        <w:rPr>
          <w:sz w:val="24"/>
          <w:szCs w:val="24"/>
        </w:rPr>
      </w:pPr>
    </w:p>
    <w:p w:rsidR="007F028E" w:rsidRPr="007F028E" w:rsidRDefault="007F028E" w:rsidP="007F028E">
      <w:pPr>
        <w:spacing w:after="0" w:line="240" w:lineRule="auto"/>
        <w:ind w:left="-180"/>
        <w:rPr>
          <w:rFonts w:ascii="Times New Roman" w:hAnsi="Times New Roman" w:cs="Times New Roman"/>
          <w:b/>
          <w:szCs w:val="20"/>
        </w:rPr>
      </w:pPr>
    </w:p>
    <w:p w:rsidR="00252801" w:rsidRDefault="00252801" w:rsidP="00252801">
      <w:pPr>
        <w:spacing w:after="0" w:line="240" w:lineRule="auto"/>
        <w:ind w:left="-900"/>
        <w:rPr>
          <w:rFonts w:ascii="Times New Roman" w:hAnsi="Times New Roman" w:cs="Times New Roman"/>
          <w:sz w:val="20"/>
          <w:szCs w:val="20"/>
        </w:rPr>
      </w:pPr>
    </w:p>
    <w:p w:rsidR="00252801" w:rsidRPr="00252801" w:rsidRDefault="00252801" w:rsidP="00252801">
      <w:pPr>
        <w:spacing w:after="0" w:line="240" w:lineRule="auto"/>
        <w:ind w:left="-900"/>
        <w:rPr>
          <w:rFonts w:ascii="Times New Roman" w:hAnsi="Times New Roman" w:cs="Times New Roman"/>
          <w:sz w:val="20"/>
          <w:szCs w:val="20"/>
        </w:rPr>
      </w:pPr>
    </w:p>
    <w:sectPr w:rsidR="00252801" w:rsidRPr="00252801" w:rsidSect="00F374AF">
      <w:pgSz w:w="12240" w:h="15840"/>
      <w:pgMar w:top="1440" w:right="1530" w:bottom="1440"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A4F" w:rsidRDefault="00773A4F">
      <w:pPr>
        <w:spacing w:after="0" w:line="240" w:lineRule="auto"/>
      </w:pPr>
      <w:r>
        <w:separator/>
      </w:r>
    </w:p>
  </w:endnote>
  <w:endnote w:type="continuationSeparator" w:id="0">
    <w:p w:rsidR="00773A4F" w:rsidRDefault="007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A4F" w:rsidRDefault="00773A4F">
      <w:pPr>
        <w:spacing w:after="0" w:line="240" w:lineRule="auto"/>
      </w:pPr>
      <w:r>
        <w:separator/>
      </w:r>
    </w:p>
  </w:footnote>
  <w:footnote w:type="continuationSeparator" w:id="0">
    <w:p w:rsidR="00773A4F" w:rsidRDefault="00773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88" w:rsidRDefault="00EC28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888" w:rsidRDefault="00EC288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423B2"/>
    <w:multiLevelType w:val="multilevel"/>
    <w:tmpl w:val="20B28F6A"/>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1B4B3ED6"/>
    <w:multiLevelType w:val="hybridMultilevel"/>
    <w:tmpl w:val="55A0582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33C62BA"/>
    <w:multiLevelType w:val="hybridMultilevel"/>
    <w:tmpl w:val="0AC6C204"/>
    <w:lvl w:ilvl="0" w:tplc="962CC528">
      <w:start w:val="3"/>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27563DB3"/>
    <w:multiLevelType w:val="hybridMultilevel"/>
    <w:tmpl w:val="0B3EA57C"/>
    <w:lvl w:ilvl="0" w:tplc="729A1EE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2990225E"/>
    <w:multiLevelType w:val="hybridMultilevel"/>
    <w:tmpl w:val="246ED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A2E0A"/>
    <w:multiLevelType w:val="multilevel"/>
    <w:tmpl w:val="3DB830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A284266"/>
    <w:multiLevelType w:val="multilevel"/>
    <w:tmpl w:val="BE1244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color w:val="000000"/>
        <w:sz w:val="24"/>
      </w:rPr>
    </w:lvl>
    <w:lvl w:ilvl="2">
      <w:start w:val="1"/>
      <w:numFmt w:val="upperLetter"/>
      <w:isLgl/>
      <w:lvlText w:val="%1.%2.%3."/>
      <w:lvlJc w:val="left"/>
      <w:pPr>
        <w:ind w:left="1800" w:hanging="720"/>
      </w:pPr>
      <w:rPr>
        <w:rFonts w:hint="default"/>
        <w:b/>
        <w:color w:val="000000"/>
        <w:sz w:val="24"/>
      </w:rPr>
    </w:lvl>
    <w:lvl w:ilvl="3">
      <w:start w:val="1"/>
      <w:numFmt w:val="upperLetter"/>
      <w:isLgl/>
      <w:lvlText w:val="%1.%2.%3.%4."/>
      <w:lvlJc w:val="left"/>
      <w:pPr>
        <w:ind w:left="2160" w:hanging="720"/>
      </w:pPr>
      <w:rPr>
        <w:rFonts w:hint="default"/>
        <w:b/>
        <w:color w:val="000000"/>
        <w:sz w:val="24"/>
      </w:rPr>
    </w:lvl>
    <w:lvl w:ilvl="4">
      <w:start w:val="1"/>
      <w:numFmt w:val="upperLetter"/>
      <w:isLgl/>
      <w:lvlText w:val="%1.%2.%3.%4.%5."/>
      <w:lvlJc w:val="left"/>
      <w:pPr>
        <w:ind w:left="2880" w:hanging="1080"/>
      </w:pPr>
      <w:rPr>
        <w:rFonts w:hint="default"/>
        <w:b/>
        <w:color w:val="000000"/>
        <w:sz w:val="24"/>
      </w:rPr>
    </w:lvl>
    <w:lvl w:ilvl="5">
      <w:start w:val="1"/>
      <w:numFmt w:val="decimal"/>
      <w:isLgl/>
      <w:lvlText w:val="%1.%2.%3.%4.%5.%6."/>
      <w:lvlJc w:val="left"/>
      <w:pPr>
        <w:ind w:left="3240" w:hanging="1080"/>
      </w:pPr>
      <w:rPr>
        <w:rFonts w:hint="default"/>
        <w:b/>
        <w:color w:val="000000"/>
        <w:sz w:val="24"/>
      </w:rPr>
    </w:lvl>
    <w:lvl w:ilvl="6">
      <w:start w:val="1"/>
      <w:numFmt w:val="decimal"/>
      <w:isLgl/>
      <w:lvlText w:val="%1.%2.%3.%4.%5.%6.%7."/>
      <w:lvlJc w:val="left"/>
      <w:pPr>
        <w:ind w:left="3600" w:hanging="1080"/>
      </w:pPr>
      <w:rPr>
        <w:rFonts w:hint="default"/>
        <w:b/>
        <w:color w:val="000000"/>
        <w:sz w:val="24"/>
      </w:rPr>
    </w:lvl>
    <w:lvl w:ilvl="7">
      <w:start w:val="1"/>
      <w:numFmt w:val="decimal"/>
      <w:isLgl/>
      <w:lvlText w:val="%1.%2.%3.%4.%5.%6.%7.%8."/>
      <w:lvlJc w:val="left"/>
      <w:pPr>
        <w:ind w:left="4320" w:hanging="1440"/>
      </w:pPr>
      <w:rPr>
        <w:rFonts w:hint="default"/>
        <w:b/>
        <w:color w:val="000000"/>
        <w:sz w:val="24"/>
      </w:rPr>
    </w:lvl>
    <w:lvl w:ilvl="8">
      <w:start w:val="1"/>
      <w:numFmt w:val="decimal"/>
      <w:isLgl/>
      <w:lvlText w:val="%1.%2.%3.%4.%5.%6.%7.%8.%9."/>
      <w:lvlJc w:val="left"/>
      <w:pPr>
        <w:ind w:left="4680" w:hanging="1440"/>
      </w:pPr>
      <w:rPr>
        <w:rFonts w:hint="default"/>
        <w:b/>
        <w:color w:val="000000"/>
        <w:sz w:val="24"/>
      </w:rPr>
    </w:lvl>
  </w:abstractNum>
  <w:abstractNum w:abstractNumId="7" w15:restartNumberingAfterBreak="0">
    <w:nsid w:val="41A92618"/>
    <w:multiLevelType w:val="hybridMultilevel"/>
    <w:tmpl w:val="1C926542"/>
    <w:lvl w:ilvl="0" w:tplc="0F767A10">
      <w:start w:val="1"/>
      <w:numFmt w:val="decimal"/>
      <w:lvlText w:val="%1."/>
      <w:lvlJc w:val="left"/>
      <w:pPr>
        <w:ind w:left="270" w:hanging="360"/>
      </w:pPr>
      <w:rPr>
        <w:rFonts w:hint="default"/>
        <w:b/>
        <w:sz w:val="24"/>
      </w:rPr>
    </w:lvl>
    <w:lvl w:ilvl="1" w:tplc="34090019" w:tentative="1">
      <w:start w:val="1"/>
      <w:numFmt w:val="lowerLetter"/>
      <w:lvlText w:val="%2."/>
      <w:lvlJc w:val="left"/>
      <w:pPr>
        <w:ind w:left="990" w:hanging="360"/>
      </w:pPr>
    </w:lvl>
    <w:lvl w:ilvl="2" w:tplc="3409001B" w:tentative="1">
      <w:start w:val="1"/>
      <w:numFmt w:val="lowerRoman"/>
      <w:lvlText w:val="%3."/>
      <w:lvlJc w:val="right"/>
      <w:pPr>
        <w:ind w:left="1710" w:hanging="180"/>
      </w:pPr>
    </w:lvl>
    <w:lvl w:ilvl="3" w:tplc="3409000F" w:tentative="1">
      <w:start w:val="1"/>
      <w:numFmt w:val="decimal"/>
      <w:lvlText w:val="%4."/>
      <w:lvlJc w:val="left"/>
      <w:pPr>
        <w:ind w:left="2430" w:hanging="360"/>
      </w:pPr>
    </w:lvl>
    <w:lvl w:ilvl="4" w:tplc="34090019" w:tentative="1">
      <w:start w:val="1"/>
      <w:numFmt w:val="lowerLetter"/>
      <w:lvlText w:val="%5."/>
      <w:lvlJc w:val="left"/>
      <w:pPr>
        <w:ind w:left="3150" w:hanging="360"/>
      </w:pPr>
    </w:lvl>
    <w:lvl w:ilvl="5" w:tplc="3409001B" w:tentative="1">
      <w:start w:val="1"/>
      <w:numFmt w:val="lowerRoman"/>
      <w:lvlText w:val="%6."/>
      <w:lvlJc w:val="right"/>
      <w:pPr>
        <w:ind w:left="3870" w:hanging="180"/>
      </w:pPr>
    </w:lvl>
    <w:lvl w:ilvl="6" w:tplc="3409000F" w:tentative="1">
      <w:start w:val="1"/>
      <w:numFmt w:val="decimal"/>
      <w:lvlText w:val="%7."/>
      <w:lvlJc w:val="left"/>
      <w:pPr>
        <w:ind w:left="4590" w:hanging="360"/>
      </w:pPr>
    </w:lvl>
    <w:lvl w:ilvl="7" w:tplc="34090019" w:tentative="1">
      <w:start w:val="1"/>
      <w:numFmt w:val="lowerLetter"/>
      <w:lvlText w:val="%8."/>
      <w:lvlJc w:val="left"/>
      <w:pPr>
        <w:ind w:left="5310" w:hanging="360"/>
      </w:pPr>
    </w:lvl>
    <w:lvl w:ilvl="8" w:tplc="3409001B" w:tentative="1">
      <w:start w:val="1"/>
      <w:numFmt w:val="lowerRoman"/>
      <w:lvlText w:val="%9."/>
      <w:lvlJc w:val="right"/>
      <w:pPr>
        <w:ind w:left="6030" w:hanging="180"/>
      </w:pPr>
    </w:lvl>
  </w:abstractNum>
  <w:abstractNum w:abstractNumId="8" w15:restartNumberingAfterBreak="0">
    <w:nsid w:val="578D0C61"/>
    <w:multiLevelType w:val="hybridMultilevel"/>
    <w:tmpl w:val="9CD4FE3A"/>
    <w:lvl w:ilvl="0" w:tplc="3CFCDF6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6810721E"/>
    <w:multiLevelType w:val="hybridMultilevel"/>
    <w:tmpl w:val="6B4CA9D4"/>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15:restartNumberingAfterBreak="0">
    <w:nsid w:val="7C995DA9"/>
    <w:multiLevelType w:val="hybridMultilevel"/>
    <w:tmpl w:val="143C99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7"/>
  </w:num>
  <w:num w:numId="5">
    <w:abstractNumId w:val="6"/>
  </w:num>
  <w:num w:numId="6">
    <w:abstractNumId w:val="4"/>
  </w:num>
  <w:num w:numId="7">
    <w:abstractNumId w:val="10"/>
  </w:num>
  <w:num w:numId="8">
    <w:abstractNumId w:val="9"/>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B7"/>
    <w:rsid w:val="000129C7"/>
    <w:rsid w:val="000457B7"/>
    <w:rsid w:val="000746F1"/>
    <w:rsid w:val="000931A8"/>
    <w:rsid w:val="00140078"/>
    <w:rsid w:val="001F1E12"/>
    <w:rsid w:val="00223B47"/>
    <w:rsid w:val="00252801"/>
    <w:rsid w:val="002F0299"/>
    <w:rsid w:val="002F20C7"/>
    <w:rsid w:val="00304776"/>
    <w:rsid w:val="003111AF"/>
    <w:rsid w:val="003566EE"/>
    <w:rsid w:val="00433F4C"/>
    <w:rsid w:val="0049030E"/>
    <w:rsid w:val="004B2649"/>
    <w:rsid w:val="004B466B"/>
    <w:rsid w:val="004B7059"/>
    <w:rsid w:val="004E6D93"/>
    <w:rsid w:val="005321D0"/>
    <w:rsid w:val="00576E7E"/>
    <w:rsid w:val="005A29BB"/>
    <w:rsid w:val="005A2C0A"/>
    <w:rsid w:val="00654049"/>
    <w:rsid w:val="00676591"/>
    <w:rsid w:val="00680F63"/>
    <w:rsid w:val="0073687C"/>
    <w:rsid w:val="007501F7"/>
    <w:rsid w:val="00762A6A"/>
    <w:rsid w:val="00773A4F"/>
    <w:rsid w:val="00792565"/>
    <w:rsid w:val="007F028E"/>
    <w:rsid w:val="008106BE"/>
    <w:rsid w:val="00832395"/>
    <w:rsid w:val="00861CE1"/>
    <w:rsid w:val="00876328"/>
    <w:rsid w:val="008B61D1"/>
    <w:rsid w:val="008E66AD"/>
    <w:rsid w:val="00900611"/>
    <w:rsid w:val="009053E4"/>
    <w:rsid w:val="00915755"/>
    <w:rsid w:val="00915E2C"/>
    <w:rsid w:val="00934CD3"/>
    <w:rsid w:val="00991750"/>
    <w:rsid w:val="009B2C42"/>
    <w:rsid w:val="009C597E"/>
    <w:rsid w:val="009D1860"/>
    <w:rsid w:val="00A24801"/>
    <w:rsid w:val="00A55EF4"/>
    <w:rsid w:val="00AB56C9"/>
    <w:rsid w:val="00AF02CD"/>
    <w:rsid w:val="00B3379C"/>
    <w:rsid w:val="00B46B19"/>
    <w:rsid w:val="00BD2A5D"/>
    <w:rsid w:val="00BF1A9E"/>
    <w:rsid w:val="00CE020B"/>
    <w:rsid w:val="00CE34EE"/>
    <w:rsid w:val="00D26E3C"/>
    <w:rsid w:val="00D3255D"/>
    <w:rsid w:val="00D973E5"/>
    <w:rsid w:val="00DA73C8"/>
    <w:rsid w:val="00DC0C6A"/>
    <w:rsid w:val="00DE4DFA"/>
    <w:rsid w:val="00E17122"/>
    <w:rsid w:val="00E32BB3"/>
    <w:rsid w:val="00EA6A0A"/>
    <w:rsid w:val="00EB2639"/>
    <w:rsid w:val="00EC0BF1"/>
    <w:rsid w:val="00EC2888"/>
    <w:rsid w:val="00ED25CA"/>
    <w:rsid w:val="00EF3621"/>
    <w:rsid w:val="00F160AE"/>
    <w:rsid w:val="00F374AF"/>
    <w:rsid w:val="00F40C7A"/>
    <w:rsid w:val="00F76CD7"/>
    <w:rsid w:val="00F9143A"/>
    <w:rsid w:val="00FA16C7"/>
    <w:rsid w:val="00FA423C"/>
    <w:rsid w:val="00FC6D57"/>
    <w:rsid w:val="00FF69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E828E8-7FE2-4A07-BE65-4647A27D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7B7"/>
    <w:pPr>
      <w:ind w:left="720"/>
      <w:contextualSpacing/>
    </w:pPr>
  </w:style>
  <w:style w:type="paragraph" w:styleId="BalloonText">
    <w:name w:val="Balloon Text"/>
    <w:basedOn w:val="Normal"/>
    <w:link w:val="BalloonTextChar"/>
    <w:uiPriority w:val="99"/>
    <w:semiHidden/>
    <w:unhideWhenUsed/>
    <w:rsid w:val="00045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B7"/>
    <w:rPr>
      <w:rFonts w:ascii="Tahoma" w:hAnsi="Tahoma" w:cs="Tahoma"/>
      <w:sz w:val="16"/>
      <w:szCs w:val="16"/>
    </w:rPr>
  </w:style>
  <w:style w:type="paragraph" w:styleId="Header">
    <w:name w:val="header"/>
    <w:basedOn w:val="Normal"/>
    <w:link w:val="HeaderChar"/>
    <w:uiPriority w:val="99"/>
    <w:unhideWhenUsed/>
    <w:rsid w:val="0073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7C"/>
  </w:style>
  <w:style w:type="paragraph" w:styleId="Footer">
    <w:name w:val="footer"/>
    <w:basedOn w:val="Normal"/>
    <w:link w:val="FooterChar"/>
    <w:uiPriority w:val="99"/>
    <w:unhideWhenUsed/>
    <w:rsid w:val="0073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7C"/>
  </w:style>
  <w:style w:type="character" w:styleId="PageNumber">
    <w:name w:val="page number"/>
    <w:basedOn w:val="DefaultParagraphFont"/>
    <w:rsid w:val="00876328"/>
  </w:style>
  <w:style w:type="character" w:styleId="Hyperlink">
    <w:name w:val="Hyperlink"/>
    <w:basedOn w:val="DefaultParagraphFont"/>
    <w:uiPriority w:val="99"/>
    <w:unhideWhenUsed/>
    <w:rsid w:val="00EC2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oroceo0129@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melita_gaerlan@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C12BC-778F-45E2-AE9E-A8453AE9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7103</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MOroceo</dc:creator>
  <cp:keywords/>
  <dc:description/>
  <cp:lastModifiedBy>Neil Oroceo</cp:lastModifiedBy>
  <cp:revision>8</cp:revision>
  <dcterms:created xsi:type="dcterms:W3CDTF">2017-01-17T14:22:00Z</dcterms:created>
  <dcterms:modified xsi:type="dcterms:W3CDTF">2017-01-17T15:20:00Z</dcterms:modified>
</cp:coreProperties>
</file>